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410210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434975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4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53" w:lineRule="exact"/>
        <w:rPr>
          <w:sz w:val="24"/>
          <w:szCs w:val="24"/>
          <w:color w:val="auto"/>
        </w:rPr>
      </w:pPr>
    </w:p>
    <w:p>
      <w:pPr>
        <w:ind w:left="4000" w:right="2380" w:hanging="3979"/>
        <w:spacing w:after="0" w:line="402" w:lineRule="auto"/>
        <w:tabs>
          <w:tab w:leader="none" w:pos="48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3" w:lineRule="exact"/>
        <w:rPr>
          <w:sz w:val="24"/>
          <w:szCs w:val="24"/>
          <w:color w:val="auto"/>
        </w:rPr>
      </w:pPr>
    </w:p>
    <w:p>
      <w:pPr>
        <w:ind w:left="3700" w:right="2020" w:hanging="3679"/>
        <w:spacing w:after="0" w:line="402" w:lineRule="auto"/>
        <w:tabs>
          <w:tab w:leader="none" w:pos="494"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 to ________</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001-04321</w:t>
      </w:r>
    </w:p>
    <w:p>
      <w:pPr>
        <w:spacing w:after="0" w:line="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106680</wp:posOffset>
            </wp:positionV>
            <wp:extent cx="1686560" cy="450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6560" cy="450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PROCEPT BIOROBOTICS CORPORATION</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(Exact name of registrant as specified in its charter)</w:t>
      </w:r>
    </w:p>
    <w:p>
      <w:pPr>
        <w:spacing w:after="0" w:line="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227"/>
        </w:trPr>
        <w:tc>
          <w:tcPr>
            <w:tcW w:w="43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8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3841</w:t>
            </w:r>
          </w:p>
        </w:tc>
        <w:tc>
          <w:tcPr>
            <w:tcW w:w="312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26-0199180</w:t>
            </w:r>
          </w:p>
        </w:tc>
        <w:tc>
          <w:tcPr>
            <w:tcW w:w="0" w:type="dxa"/>
            <w:vAlign w:val="bottom"/>
          </w:tcPr>
          <w:p>
            <w:pPr>
              <w:spacing w:after="0"/>
              <w:rPr>
                <w:sz w:val="1"/>
                <w:szCs w:val="1"/>
                <w:color w:val="auto"/>
              </w:rPr>
            </w:pPr>
          </w:p>
        </w:tc>
      </w:tr>
      <w:tr>
        <w:trPr>
          <w:trHeight w:val="215"/>
        </w:trPr>
        <w:tc>
          <w:tcPr>
            <w:tcW w:w="43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288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(Primary Standard Industrial</w:t>
            </w:r>
          </w:p>
        </w:tc>
        <w:tc>
          <w:tcPr>
            <w:tcW w:w="312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rPr>
              <w:t>(I.R.S. Employer Identification No.)</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8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Classification Code Number)</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150 Baytech Drive</w:t>
            </w:r>
          </w:p>
        </w:tc>
        <w:tc>
          <w:tcPr>
            <w:tcW w:w="2880" w:type="dxa"/>
            <w:vAlign w:val="bottom"/>
          </w:tcPr>
          <w:p>
            <w:pPr>
              <w:spacing w:after="0"/>
              <w:rPr>
                <w:sz w:val="21"/>
                <w:szCs w:val="21"/>
                <w:color w:val="auto"/>
              </w:rPr>
            </w:pPr>
          </w:p>
        </w:tc>
        <w:tc>
          <w:tcPr>
            <w:tcW w:w="3120" w:type="dxa"/>
            <w:vAlign w:val="bottom"/>
            <w:vMerge w:val="restart"/>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95134</w:t>
            </w:r>
          </w:p>
        </w:tc>
        <w:tc>
          <w:tcPr>
            <w:tcW w:w="0" w:type="dxa"/>
            <w:vAlign w:val="bottom"/>
          </w:tcPr>
          <w:p>
            <w:pPr>
              <w:spacing w:after="0"/>
              <w:rPr>
                <w:sz w:val="1"/>
                <w:szCs w:val="1"/>
                <w:color w:val="auto"/>
              </w:rPr>
            </w:pPr>
          </w:p>
        </w:tc>
      </w:tr>
      <w:tr>
        <w:trPr>
          <w:trHeight w:val="229"/>
        </w:trPr>
        <w:tc>
          <w:tcPr>
            <w:tcW w:w="4340" w:type="dxa"/>
            <w:vAlign w:val="bottom"/>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San Jose, CA</w:t>
            </w:r>
          </w:p>
        </w:tc>
        <w:tc>
          <w:tcPr>
            <w:tcW w:w="2880" w:type="dxa"/>
            <w:vAlign w:val="bottom"/>
          </w:tcPr>
          <w:p>
            <w:pPr>
              <w:spacing w:after="0"/>
              <w:rPr>
                <w:sz w:val="19"/>
                <w:szCs w:val="19"/>
                <w:color w:val="auto"/>
              </w:rPr>
            </w:pPr>
          </w:p>
        </w:tc>
        <w:tc>
          <w:tcPr>
            <w:tcW w:w="3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880" w:type="dxa"/>
            <w:vAlign w:val="bottom"/>
          </w:tcPr>
          <w:p>
            <w:pPr>
              <w:spacing w:after="0"/>
              <w:rPr>
                <w:sz w:val="19"/>
                <w:szCs w:val="19"/>
                <w:color w:val="auto"/>
              </w:rPr>
            </w:pPr>
          </w:p>
        </w:tc>
        <w:tc>
          <w:tcPr>
            <w:tcW w:w="3120" w:type="dxa"/>
            <w:vAlign w:val="bottom"/>
            <w:vMerge w:val="restart"/>
          </w:tcPr>
          <w:p>
            <w:pPr>
              <w:jc w:val="center"/>
              <w:ind w:left="594"/>
              <w:spacing w:after="0"/>
              <w:rPr>
                <w:sz w:val="20"/>
                <w:szCs w:val="20"/>
                <w:color w:val="auto"/>
              </w:rPr>
            </w:pPr>
            <w:r>
              <w:rPr>
                <w:rFonts w:ascii="Times New Roman" w:cs="Times New Roman" w:eastAsia="Times New Roman" w:hAnsi="Times New Roman"/>
                <w:sz w:val="17"/>
                <w:szCs w:val="17"/>
                <w:color w:val="auto"/>
              </w:rPr>
              <w:t>(Zip Code)</w:t>
            </w:r>
          </w:p>
        </w:tc>
        <w:tc>
          <w:tcPr>
            <w:tcW w:w="0" w:type="dxa"/>
            <w:vAlign w:val="bottom"/>
          </w:tcPr>
          <w:p>
            <w:pPr>
              <w:spacing w:after="0"/>
              <w:rPr>
                <w:sz w:val="1"/>
                <w:szCs w:val="1"/>
                <w:color w:val="auto"/>
              </w:rPr>
            </w:pPr>
          </w:p>
        </w:tc>
      </w:tr>
      <w:tr>
        <w:trPr>
          <w:trHeight w:val="64"/>
        </w:trPr>
        <w:tc>
          <w:tcPr>
            <w:tcW w:w="43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(650) 232-7200</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39"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2"/>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$0.00001 par value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PRCT</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Market</w:t>
            </w:r>
          </w:p>
        </w:tc>
      </w:tr>
    </w:tbl>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1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17" w:lineRule="exact"/>
        <w:rPr>
          <w:sz w:val="24"/>
          <w:szCs w:val="24"/>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65"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51" w:lineRule="exact"/>
        <w:rPr>
          <w:sz w:val="24"/>
          <w:szCs w:val="24"/>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0"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60" w:type="dxa"/>
            <w:vAlign w:val="bottom"/>
            <w:vMerge w:val="restart"/>
          </w:tcPr>
          <w:p>
            <w:pPr>
              <w:ind w:left="1500"/>
              <w:spacing w:after="0"/>
              <w:rPr>
                <w:sz w:val="20"/>
                <w:szCs w:val="20"/>
                <w:color w:val="auto"/>
              </w:rPr>
            </w:pPr>
            <w:r>
              <w:rPr>
                <w:rFonts w:ascii="Wingdings" w:cs="Wingdings" w:eastAsia="Wingdings" w:hAnsi="Wingdings"/>
                <w:sz w:val="17"/>
                <w:szCs w:val="17"/>
                <w:b w:val="1"/>
                <w:bCs w:val="1"/>
                <w:color w:val="auto"/>
              </w:rPr>
              <w:t>x</w:t>
            </w:r>
          </w:p>
        </w:tc>
        <w:tc>
          <w:tcPr>
            <w:tcW w:w="366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rPr>
              <w:t>Accelerated filer</w:t>
            </w:r>
          </w:p>
        </w:tc>
        <w:tc>
          <w:tcPr>
            <w:tcW w:w="1440" w:type="dxa"/>
            <w:vAlign w:val="bottom"/>
            <w:vMerge w:val="restart"/>
          </w:tcPr>
          <w:p>
            <w:pPr>
              <w:ind w:left="1300"/>
              <w:spacing w:after="0"/>
              <w:rPr>
                <w:sz w:val="20"/>
                <w:szCs w:val="20"/>
                <w:color w:val="auto"/>
              </w:rPr>
            </w:pPr>
            <w:r>
              <w:rPr>
                <w:rFonts w:ascii="Wingdings" w:cs="Wingdings" w:eastAsia="Wingdings" w:hAnsi="Wingdings"/>
                <w:sz w:val="17"/>
                <w:szCs w:val="17"/>
                <w:b w:val="1"/>
                <w:bCs w:val="1"/>
                <w:color w:val="auto"/>
                <w:w w:val="78"/>
              </w:rPr>
              <w:t>o</w:t>
            </w:r>
          </w:p>
        </w:tc>
        <w:tc>
          <w:tcPr>
            <w:tcW w:w="0" w:type="dxa"/>
            <w:vAlign w:val="bottom"/>
          </w:tcPr>
          <w:p>
            <w:pPr>
              <w:spacing w:after="0"/>
              <w:rPr>
                <w:sz w:val="1"/>
                <w:szCs w:val="1"/>
                <w:color w:val="auto"/>
              </w:rPr>
            </w:pPr>
          </w:p>
        </w:tc>
      </w:tr>
      <w:tr>
        <w:trPr>
          <w:trHeight w:val="77"/>
        </w:trPr>
        <w:tc>
          <w:tcPr>
            <w:tcW w:w="302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3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60" w:type="dxa"/>
            <w:vAlign w:val="bottom"/>
            <w:vMerge w:val="restart"/>
          </w:tcPr>
          <w:p>
            <w:pPr>
              <w:ind w:left="150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440" w:type="dxa"/>
            <w:vAlign w:val="bottom"/>
            <w:vMerge w:val="restart"/>
          </w:tcPr>
          <w:p>
            <w:pPr>
              <w:ind w:left="1300"/>
              <w:spacing w:after="0"/>
              <w:rPr>
                <w:sz w:val="20"/>
                <w:szCs w:val="20"/>
                <w:color w:val="auto"/>
              </w:rPr>
            </w:pPr>
            <w:r>
              <w:rPr>
                <w:rFonts w:ascii="Wingdings" w:cs="Wingdings" w:eastAsia="Wingdings" w:hAnsi="Wingdings"/>
                <w:sz w:val="17"/>
                <w:szCs w:val="17"/>
                <w:b w:val="1"/>
                <w:bCs w:val="1"/>
                <w:color w:val="auto"/>
                <w:w w:val="78"/>
              </w:rPr>
              <w:t>o</w:t>
            </w:r>
          </w:p>
        </w:tc>
        <w:tc>
          <w:tcPr>
            <w:tcW w:w="0" w:type="dxa"/>
            <w:vAlign w:val="bottom"/>
          </w:tcPr>
          <w:p>
            <w:pPr>
              <w:spacing w:after="0"/>
              <w:rPr>
                <w:sz w:val="1"/>
                <w:szCs w:val="1"/>
                <w:color w:val="auto"/>
              </w:rPr>
            </w:pPr>
          </w:p>
        </w:tc>
      </w:tr>
      <w:tr>
        <w:trPr>
          <w:trHeight w:val="77"/>
        </w:trPr>
        <w:tc>
          <w:tcPr>
            <w:tcW w:w="302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3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8"/>
        </w:trPr>
        <w:tc>
          <w:tcPr>
            <w:tcW w:w="3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Emerging growth company</w:t>
            </w:r>
          </w:p>
        </w:tc>
        <w:tc>
          <w:tcPr>
            <w:tcW w:w="1440" w:type="dxa"/>
            <w:vAlign w:val="bottom"/>
          </w:tcPr>
          <w:p>
            <w:pPr>
              <w:ind w:left="1300"/>
              <w:spacing w:after="0"/>
              <w:rPr>
                <w:sz w:val="20"/>
                <w:szCs w:val="20"/>
                <w:color w:val="auto"/>
              </w:rPr>
            </w:pPr>
            <w:r>
              <w:rPr>
                <w:rFonts w:ascii="Wingdings" w:cs="Wingdings" w:eastAsia="Wingdings" w:hAnsi="Wingdings"/>
                <w:sz w:val="17"/>
                <w:szCs w:val="17"/>
                <w:b w:val="1"/>
                <w:bCs w:val="1"/>
                <w:color w:val="auto"/>
                <w:w w:val="78"/>
              </w:rPr>
              <w:t>o</w:t>
            </w:r>
          </w:p>
        </w:tc>
        <w:tc>
          <w:tcPr>
            <w:tcW w:w="0" w:type="dxa"/>
            <w:vAlign w:val="bottom"/>
          </w:tcPr>
          <w:p>
            <w:pPr>
              <w:spacing w:after="0"/>
              <w:rPr>
                <w:sz w:val="1"/>
                <w:szCs w:val="1"/>
                <w:color w:val="auto"/>
              </w:rPr>
            </w:pPr>
          </w:p>
        </w:tc>
      </w:tr>
    </w:tbl>
    <w:p>
      <w:pPr>
        <w:spacing w:after="0" w:line="331" w:lineRule="exact"/>
        <w:rPr>
          <w:sz w:val="24"/>
          <w:szCs w:val="24"/>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ectPr>
          <w:pgSz w:w="11900" w:h="16893" w:orient="portrait"/>
          <w:cols w:equalWidth="0" w:num="1">
            <w:col w:w="11260"/>
          </w:cols>
          <w:pgMar w:left="320" w:top="278" w:right="319" w:bottom="0" w:gutter="0" w:footer="0" w:header="0"/>
        </w:sectPr>
      </w:pPr>
    </w:p>
    <w:bookmarkStart w:id="1" w:name="page2"/>
    <w:bookmarkEnd w:id="1"/>
    <w:p>
      <w:pPr>
        <w:ind w:right="16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report. </w:t>
      </w:r>
      <w:r>
        <w:rPr>
          <w:rFonts w:ascii="Wingdings" w:cs="Wingdings" w:eastAsia="Wingdings" w:hAnsi="Wingdings"/>
          <w:sz w:val="17"/>
          <w:szCs w:val="17"/>
          <w:b w:val="1"/>
          <w:bCs w:val="1"/>
          <w:color w:val="auto"/>
        </w:rPr>
        <w:t>x</w:t>
      </w:r>
    </w:p>
    <w:p>
      <w:pPr>
        <w:spacing w:after="0" w:line="165" w:lineRule="exact"/>
        <w:rPr>
          <w:sz w:val="20"/>
          <w:szCs w:val="20"/>
          <w:color w:val="auto"/>
        </w:rPr>
      </w:pPr>
    </w:p>
    <w:p>
      <w:pPr>
        <w:ind w:right="360"/>
        <w:spacing w:after="0" w:line="228"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13" w:lineRule="exact"/>
        <w:rPr>
          <w:sz w:val="20"/>
          <w:szCs w:val="20"/>
          <w:color w:val="auto"/>
        </w:rPr>
      </w:pPr>
    </w:p>
    <w:p>
      <w:pPr>
        <w:ind w:right="80"/>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As of June 30, 2025, the aggregate market value of shares held by non-affiliates of the Registrant (based upon the closing sale prices of such shares on the Nasdaq Global Market on June 30, 2025) was approximately $3.2 billion. Shares of common stock held by each executive officer, director, and their affiliated holders have been excluded in that such persons may be deemed to be affiliates. The determination of affiliate status for this purpose is not necessarily a conclusive determination for any other purpose.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56,390,196 shares of common stock as of February 19, 2026.</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21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its 2026 Annual Stockholders’ Meeting, to be filed within 120 days of the registrant’s fiscal year ended December 31,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773430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163830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7"/>
        </w:trPr>
        <w:tc>
          <w:tcPr>
            <w:tcW w:w="1220" w:type="dxa"/>
            <w:vAlign w:val="bottom"/>
            <w:tcBorders>
              <w:top w:val="single" w:sz="8" w:color="0000FF"/>
            </w:tcBorders>
          </w:tcPr>
          <w:p>
            <w:pPr>
              <w:spacing w:after="0"/>
              <w:rPr>
                <w:sz w:val="24"/>
                <w:szCs w:val="24"/>
                <w:color w:val="auto"/>
              </w:rPr>
            </w:pPr>
          </w:p>
        </w:tc>
        <w:tc>
          <w:tcPr>
            <w:tcW w:w="8780" w:type="dxa"/>
            <w:vAlign w:val="bottom"/>
          </w:tcPr>
          <w:p>
            <w:pPr>
              <w:ind w:left="37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Part I</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196"/>
        </w:trPr>
        <w:tc>
          <w:tcPr>
            <w:tcW w:w="1000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 Business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1A. 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1B. Unresolved Staff Comments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1C. Cybersecurity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2. Properties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3. Legal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4. Mine Safety Disclosures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 II</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5. Market for Registrant’s Common Equity, Related Stockholder Matters and Issuer Purchases of Equity 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45"/>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6. [Reserved]</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7. 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7A. Quantitative and Qualitative Disclosures about Market Risk</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8. Financial Statements and Supplementary Data</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9. Changes in and Disagreements with Accountants on Accounting and Financial Disclosure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9A. Controls and Procedures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9B. Other Information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9C. Disclosure Regarding Foreign Jurisdictions that Prevent Inspections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 III</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10. Directors, Executive Officers and Corporate Governance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11. Executive 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12. Security Ownership of Certain Beneficial Owners and Management and Related Stockholder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13. Certain Relationships and Related Transactions, and Director Independence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14. Principal Accountant Fees and Services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 IV</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15. Exhibits and Financial Statement Schedules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111</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16. Form 10-K Summary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23"/>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49" w:lineRule="exact"/>
        <w:rPr>
          <w:sz w:val="20"/>
          <w:szCs w:val="20"/>
          <w:color w:val="auto"/>
        </w:rPr>
      </w:pPr>
    </w:p>
    <w:p>
      <w:pPr>
        <w:ind w:right="120" w:firstLine="309"/>
        <w:spacing w:after="0" w:line="258"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All statements other than statements of historical facts contained in this Annual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business model and strategic plans for our products, technologies and business, including our implementation thereof, the timing of and our ability to obtain and maintain regulatory approvals, our commercialization, marketing and manufacturing capabilities and strategy, our expectations about the commercial success and market acceptance of our products, the sufficiency of our cash and cash equivalents, and the plans and objectives of management for future operations and capital expenditures are forward-looking statements.</w:t>
      </w:r>
    </w:p>
    <w:p>
      <w:pPr>
        <w:spacing w:after="0" w:line="124" w:lineRule="exact"/>
        <w:rPr>
          <w:sz w:val="20"/>
          <w:szCs w:val="20"/>
          <w:color w:val="auto"/>
        </w:rPr>
      </w:pPr>
    </w:p>
    <w:p>
      <w:pPr>
        <w:ind w:right="380" w:firstLine="309"/>
        <w:spacing w:after="0" w:line="264" w:lineRule="auto"/>
        <w:rPr>
          <w:sz w:val="20"/>
          <w:szCs w:val="20"/>
          <w:color w:val="auto"/>
        </w:rPr>
      </w:pPr>
      <w:r>
        <w:rPr>
          <w:rFonts w:ascii="Times New Roman" w:cs="Times New Roman" w:eastAsia="Times New Roman" w:hAnsi="Times New Roman"/>
          <w:sz w:val="17"/>
          <w:szCs w:val="17"/>
          <w:color w:val="auto"/>
        </w:rPr>
        <w:t>The forward-looking statements in this Annual Report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Annual Report and are subject to a number of known and unknown risks, uncertainties, and assumptions, including those described under the sections in this Annual Report entitled</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“Risk Factors” and “Management’s Discussion and Analysis of Financial Condition and Results of Operations” and elsewhere in this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333"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169" w:lineRule="exact"/>
        <w:rPr>
          <w:sz w:val="20"/>
          <w:szCs w:val="20"/>
          <w:color w:val="auto"/>
        </w:rPr>
      </w:pPr>
    </w:p>
    <w:p>
      <w:pPr>
        <w:ind w:right="60" w:firstLine="309"/>
        <w:spacing w:after="0" w:line="270"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14" w:lineRule="exact"/>
        <w:rPr>
          <w:sz w:val="20"/>
          <w:szCs w:val="20"/>
          <w:color w:val="auto"/>
        </w:rPr>
      </w:pPr>
    </w:p>
    <w:p>
      <w:pPr>
        <w:ind w:left="620" w:right="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significant net losses, we expect to continue to incur operating losses for the foreseeable future and we may not be able to achieve or sustain profitability.</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is primarily generated from sales of our robotic systems and the accompanying single-use disposable handpieces, and we are therefore highly dependent on the success of those products.</w:t>
      </w:r>
    </w:p>
    <w:p>
      <w:pPr>
        <w:spacing w:after="0" w:line="99" w:lineRule="exact"/>
        <w:rPr>
          <w:rFonts w:ascii="Times New Roman" w:cs="Times New Roman" w:eastAsia="Times New Roman" w:hAnsi="Times New Roman"/>
          <w:sz w:val="17"/>
          <w:szCs w:val="17"/>
          <w:color w:val="auto"/>
        </w:rPr>
      </w:pPr>
    </w:p>
    <w:p>
      <w:pPr>
        <w:ind w:left="620" w:right="36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13" w:lineRule="exact"/>
        <w:rPr>
          <w:rFonts w:ascii="Times New Roman" w:cs="Times New Roman" w:eastAsia="Times New Roman" w:hAnsi="Times New Roman"/>
          <w:sz w:val="17"/>
          <w:szCs w:val="17"/>
          <w:color w:val="auto"/>
        </w:rPr>
      </w:pPr>
    </w:p>
    <w:p>
      <w:pPr>
        <w:ind w:left="620" w:right="3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products and Aquablation therapy will depend upon the degree of market acceptance of our products among hospitals, surgeons and patients.</w:t>
      </w:r>
    </w:p>
    <w:p>
      <w:pPr>
        <w:spacing w:after="0" w:line="99"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in training and marketing and selling our products and we may provide inadequate training, fail to increase our sales and marketing capabilities or fail to develop and maintain broad brand awareness in a cost-effective manner.</w:t>
      </w:r>
    </w:p>
    <w:p>
      <w:pPr>
        <w:spacing w:after="0" w:line="99" w:lineRule="exact"/>
        <w:rPr>
          <w:rFonts w:ascii="Times New Roman" w:cs="Times New Roman" w:eastAsia="Times New Roman" w:hAnsi="Times New Roman"/>
          <w:sz w:val="17"/>
          <w:szCs w:val="17"/>
          <w:color w:val="auto"/>
        </w:rPr>
      </w:pPr>
    </w:p>
    <w:p>
      <w:pPr>
        <w:ind w:left="620" w:right="3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maintain adequate levels of third-party coverage and reimbursement, and third parties may rescind or modify their coverage or delay payments related to our products.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competition from many sources, including larger companies, and we may be unable to compete successfully.</w:t>
      </w:r>
    </w:p>
    <w:p>
      <w:pPr>
        <w:spacing w:after="0" w:line="165"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manufacturing our products in large-scale commercial quantities, and we face a number of manufacturing risks that may adversely affect our manufacturing abilities which could delay, prevent or impair our growth.</w:t>
      </w:r>
    </w:p>
    <w:p>
      <w:pPr>
        <w:spacing w:after="0" w:line="99"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99" w:lineRule="exact"/>
        <w:rPr>
          <w:rFonts w:ascii="Times New Roman" w:cs="Times New Roman" w:eastAsia="Times New Roman" w:hAnsi="Times New Roman"/>
          <w:sz w:val="17"/>
          <w:szCs w:val="17"/>
          <w:color w:val="auto"/>
        </w:rPr>
      </w:pPr>
    </w:p>
    <w:p>
      <w:pPr>
        <w:ind w:left="620" w:right="6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information technology systems, or those used by our contractors or consultants, may fail or suffer security breaches, and such failure could negatively affect our business,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64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99" w:lineRule="exact"/>
        <w:rPr>
          <w:rFonts w:ascii="Times New Roman" w:cs="Times New Roman" w:eastAsia="Times New Roman" w:hAnsi="Times New Roman"/>
          <w:sz w:val="17"/>
          <w:szCs w:val="17"/>
          <w:color w:val="auto"/>
        </w:rPr>
      </w:pPr>
    </w:p>
    <w:p>
      <w:pPr>
        <w:jc w:val="both"/>
        <w:ind w:left="620" w:right="16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113" w:lineRule="exact"/>
        <w:rPr>
          <w:rFonts w:ascii="Times New Roman" w:cs="Times New Roman" w:eastAsia="Times New Roman" w:hAnsi="Times New Roman"/>
          <w:sz w:val="17"/>
          <w:szCs w:val="17"/>
          <w:color w:val="auto"/>
        </w:rPr>
      </w:pPr>
    </w:p>
    <w:p>
      <w:pPr>
        <w:ind w:left="620" w:right="4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Cost-containment efforts of our customers, purchasing groups and governmental organizations could have a material adverse effect on our sales and profitability.</w:t>
      </w:r>
    </w:p>
    <w:p>
      <w:pPr>
        <w:spacing w:after="0" w:line="99" w:lineRule="exact"/>
        <w:rPr>
          <w:rFonts w:ascii="Times New Roman" w:cs="Times New Roman" w:eastAsia="Times New Roman" w:hAnsi="Times New Roman"/>
          <w:sz w:val="17"/>
          <w:szCs w:val="17"/>
          <w:color w:val="auto"/>
        </w:rPr>
      </w:pPr>
    </w:p>
    <w:p>
      <w:pPr>
        <w:ind w:left="620" w:right="4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our senior management team and key personnel, and our business could be harmed if we are unable to attract and retain personnel necessary for our success.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reimbursement rates for BPH treatments and measures to reduce healthcare costs may adversely impact our business.</w:t>
      </w:r>
    </w:p>
    <w:p>
      <w:pPr>
        <w:spacing w:after="0" w:line="165" w:lineRule="exact"/>
        <w:rPr>
          <w:rFonts w:ascii="Times New Roman" w:cs="Times New Roman" w:eastAsia="Times New Roman" w:hAnsi="Times New Roman"/>
          <w:sz w:val="17"/>
          <w:szCs w:val="17"/>
          <w:color w:val="auto"/>
        </w:rPr>
      </w:pPr>
    </w:p>
    <w:p>
      <w:pPr>
        <w:jc w:val="both"/>
        <w:ind w:left="620" w:right="20" w:hanging="307"/>
        <w:spacing w:after="0" w:line="26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robotic systems and our operations are subject to extensive government regulation and oversight in the United States. If we fail to maintain necessary marketing authorizations for our robotic systems, or if approvals or clearances for future products or modifications to existing products are delayed or not issued, it will negatively affect our business, financial condition and results of operations.</w:t>
      </w:r>
    </w:p>
    <w:p>
      <w:pPr>
        <w:spacing w:after="0" w:line="4" w:lineRule="exact"/>
        <w:rPr>
          <w:rFonts w:ascii="Times New Roman" w:cs="Times New Roman" w:eastAsia="Times New Roman" w:hAnsi="Times New Roman"/>
          <w:sz w:val="17"/>
          <w:szCs w:val="17"/>
          <w:color w:val="auto"/>
        </w:rPr>
      </w:pPr>
    </w:p>
    <w:p>
      <w:pPr>
        <w:ind w:left="620" w:right="140" w:hanging="307"/>
        <w:spacing w:after="0" w:line="238"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Even though we have obtained marketing authorization for our AquaBeam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Robotic System and HYDROS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Robotic System, 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126"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to obtain, maintain and protect our intellectual property and failure to do so may adversely impact our competitive position.</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become a party to intellectual property litigation or administrative proceedings that could be expensive, time-consuming, unsuccessful, and could interfere with our ability to sell and market our products or services.</w:t>
      </w:r>
    </w:p>
    <w:p>
      <w:pPr>
        <w:spacing w:after="0" w:line="99" w:lineRule="exact"/>
        <w:rPr>
          <w:rFonts w:ascii="Times New Roman" w:cs="Times New Roman" w:eastAsia="Times New Roman" w:hAnsi="Times New Roman"/>
          <w:sz w:val="17"/>
          <w:szCs w:val="17"/>
          <w:color w:val="auto"/>
        </w:rPr>
      </w:pPr>
    </w:p>
    <w:p>
      <w:pPr>
        <w:ind w:left="620" w:right="20" w:hanging="307"/>
        <w:spacing w:after="0" w:line="26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our AquaBeam Robotic System and HYDROS Robotic System and our other current and future products.</w:t>
      </w:r>
    </w:p>
    <w:p>
      <w:pPr>
        <w:spacing w:after="0" w:line="11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covering our products could be found invalid or unenforceable if challenged in court or before administrative bodies globally.</w:t>
      </w:r>
    </w:p>
    <w:p>
      <w:pPr>
        <w:spacing w:after="0" w:line="165" w:lineRule="exact"/>
        <w:rPr>
          <w:rFonts w:ascii="Times New Roman" w:cs="Times New Roman" w:eastAsia="Times New Roman" w:hAnsi="Times New Roman"/>
          <w:sz w:val="17"/>
          <w:szCs w:val="17"/>
          <w:color w:val="auto"/>
        </w:rPr>
      </w:pPr>
    </w:p>
    <w:p>
      <w:pPr>
        <w:ind w:left="620" w:right="4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 may be volatile or may decline steeply or suddenly regardless of our operating performance, which could result in substantial losses for purchasers of our common stock, and we may not be able to meet investor or analyst expectations.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securities issuances could result in significant dilution to our stockholders and impair the market price of our common stock.</w:t>
      </w:r>
    </w:p>
    <w:p>
      <w:pPr>
        <w:spacing w:after="0" w:line="165" w:lineRule="exact"/>
        <w:rPr>
          <w:rFonts w:ascii="Times New Roman" w:cs="Times New Roman" w:eastAsia="Times New Roman" w:hAnsi="Times New Roman"/>
          <w:sz w:val="17"/>
          <w:szCs w:val="17"/>
          <w:color w:val="auto"/>
        </w:rPr>
      </w:pPr>
    </w:p>
    <w:p>
      <w:pPr>
        <w:ind w:left="620" w:right="28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maintain adequate internal control over financial reporting, or if we are unable to produce timely or accurate financial statements, investors may lose confidence in our operating results and the trading price of our common stock could decline.</w:t>
      </w: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We are a surgical robotics company focused on advancing patient care by developing transformative solutions in urology. We develop, manufacture and sell the AquaBeam Robotic System and HYDROS Robotic System, which are advanced, image-guided, surgical robotic systems for use in minimally invasive urologic surgery, with an initial focus on treating benign prostatic hyperplasia, or BPH. BPH is the most common prostate disease and impacts approximately 40 million men in the United States. Each of our robotic systems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robotic systems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is independent of prostate size and shape, and delivers resection independent of surgeon experience. We have developed a significant and growing body of clinical evidence, which includes nine clinical studies and over 150 peer-reviewed publications, supporting the benefits and clinical advantages of Aquablation therapy. As of December 31, 2025, we had an install base of 912 AquaBeam Robotic Systems and HYDROS Robotic Systems globally, including 718 in the United States.</w:t>
      </w:r>
    </w:p>
    <w:p>
      <w:pPr>
        <w:spacing w:after="0" w:line="130" w:lineRule="exact"/>
        <w:rPr>
          <w:sz w:val="20"/>
          <w:szCs w:val="20"/>
          <w:color w:val="auto"/>
        </w:rPr>
      </w:pPr>
    </w:p>
    <w:p>
      <w:pPr>
        <w:ind w:right="280" w:firstLine="309"/>
        <w:spacing w:after="0" w:line="287" w:lineRule="auto"/>
        <w:rPr>
          <w:sz w:val="20"/>
          <w:szCs w:val="20"/>
          <w:color w:val="auto"/>
        </w:rPr>
      </w:pPr>
      <w:r>
        <w:rPr>
          <w:rFonts w:ascii="Times New Roman" w:cs="Times New Roman" w:eastAsia="Times New Roman" w:hAnsi="Times New Roman"/>
          <w:sz w:val="17"/>
          <w:szCs w:val="17"/>
          <w:color w:val="auto"/>
        </w:rPr>
        <w:t>BPH refers to the non-malignant enlargement of the prostate gland, a small gland in the male reproductive system. The prostate sits underneath the bladder and surrounds the top part of the urethra, which carries urine from the bladder.</w:t>
      </w:r>
    </w:p>
    <w:p>
      <w:pPr>
        <w:spacing w:after="0" w:line="100" w:lineRule="exact"/>
        <w:rPr>
          <w:sz w:val="20"/>
          <w:szCs w:val="20"/>
          <w:color w:val="auto"/>
        </w:rPr>
      </w:pPr>
    </w:p>
    <w:p>
      <w:pPr>
        <w:ind w:right="40" w:firstLine="309"/>
        <w:spacing w:after="0" w:line="270" w:lineRule="auto"/>
        <w:rPr>
          <w:sz w:val="20"/>
          <w:szCs w:val="20"/>
          <w:color w:val="auto"/>
        </w:rPr>
      </w:pPr>
      <w:r>
        <w:rPr>
          <w:rFonts w:ascii="Times New Roman" w:cs="Times New Roman" w:eastAsia="Times New Roman" w:hAnsi="Times New Roman"/>
          <w:sz w:val="17"/>
          <w:szCs w:val="17"/>
          <w:color w:val="auto"/>
        </w:rPr>
        <w:t>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w:t>
      </w:r>
    </w:p>
    <w:p>
      <w:pPr>
        <w:spacing w:after="0" w:line="114" w:lineRule="exact"/>
        <w:rPr>
          <w:sz w:val="20"/>
          <w:szCs w:val="20"/>
          <w:color w:val="auto"/>
        </w:rPr>
      </w:pPr>
    </w:p>
    <w:p>
      <w:pPr>
        <w:ind w:right="40" w:firstLine="309"/>
        <w:spacing w:after="0" w:line="258" w:lineRule="auto"/>
        <w:rPr>
          <w:sz w:val="20"/>
          <w:szCs w:val="20"/>
          <w:color w:val="auto"/>
        </w:rPr>
      </w:pPr>
      <w:r>
        <w:rPr>
          <w:rFonts w:ascii="Times New Roman" w:cs="Times New Roman" w:eastAsia="Times New Roman" w:hAnsi="Times New Roman"/>
          <w:sz w:val="17"/>
          <w:szCs w:val="17"/>
          <w:color w:val="auto"/>
        </w:rPr>
        <w:t>In the United States it is estimated that approximately 40 million men are impacted by BPH. Of these men, approximately 12 million are being managed by a physician for symptoms related to their disease. Our total addressable patient population in the United States includes approximately 8.0 million patients, which include men receiving drug therapy, those who have recently failed medication and those who undergo surgical intervention. In calendar 2024, approximately 400,000 men underwent surgical intervention. By 2060, it is expected that the number of men over 65 years old in the United States will double and include a corresponding increase in the number of men with enlarged prostates. Based on our recent average selling price of our single-use disposable handpiece, we estimate that our total addressable market opportunity, which includes men receiving drug therapy, those who have recently failed medication and those who undergo surgical intervention, is approximately $30 billion in the United States. The global incidence of BPH among men over 50 years old is similar to that of the United States, representing a significant incremental market opportunity outside of the United States.</w:t>
      </w:r>
    </w:p>
    <w:p>
      <w:pPr>
        <w:spacing w:after="0" w:line="124" w:lineRule="exact"/>
        <w:rPr>
          <w:sz w:val="20"/>
          <w:szCs w:val="20"/>
          <w:color w:val="auto"/>
        </w:rPr>
      </w:pPr>
    </w:p>
    <w:p>
      <w:pPr>
        <w:ind w:right="120" w:firstLine="309"/>
        <w:spacing w:after="0" w:line="258" w:lineRule="auto"/>
        <w:rPr>
          <w:sz w:val="20"/>
          <w:szCs w:val="20"/>
          <w:color w:val="auto"/>
        </w:rPr>
      </w:pPr>
      <w:r>
        <w:rPr>
          <w:rFonts w:ascii="Times New Roman" w:cs="Times New Roman" w:eastAsia="Times New Roman" w:hAnsi="Times New Roman"/>
          <w:sz w:val="17"/>
          <w:szCs w:val="17"/>
          <w:color w:val="auto"/>
        </w:rPr>
        <w:t>The main goal of BPH treatment is to alleviate the symptoms associated with the disease and improve the patient’s quality of life. While drug therapy is typically a first line treatment option, limited efficacy and negative side effects contribute to low compliance and high failure rates and drop outs. On the other hand, surgical intervention is proven to provide effective and durable symptom relief compared to drug therapy, but the use of surgery is significantly under-penetrated. This is largely due to the compromise patients must make between the incidence of irreversible side effects associated with alternative resective surgical interventions, where obstructive tissue is removed at the time of intervention, or the lower rates of efficacy and durability associated with non-resective surgical interventions, where obstructive tissue is not removed, but rather the prostatic urethra is re-shaped. In addition, most alternative surgical interventions are limited by prostate size and shape, with no single procedure capable of effectively addressing the full range of prostate anatomies.</w:t>
      </w:r>
    </w:p>
    <w:p>
      <w:pPr>
        <w:spacing w:after="0" w:line="128" w:lineRule="exact"/>
        <w:rPr>
          <w:sz w:val="20"/>
          <w:szCs w:val="20"/>
          <w:color w:val="auto"/>
        </w:rPr>
      </w:pPr>
    </w:p>
    <w:p>
      <w:pPr>
        <w:ind w:right="280" w:firstLine="309"/>
        <w:spacing w:after="0" w:line="270" w:lineRule="auto"/>
        <w:rPr>
          <w:sz w:val="20"/>
          <w:szCs w:val="20"/>
          <w:color w:val="auto"/>
        </w:rPr>
      </w:pPr>
      <w:r>
        <w:rPr>
          <w:rFonts w:ascii="Times New Roman" w:cs="Times New Roman" w:eastAsia="Times New Roman" w:hAnsi="Times New Roman"/>
          <w:sz w:val="17"/>
          <w:szCs w:val="17"/>
          <w:color w:val="auto"/>
        </w:rPr>
        <w:t>We began developing our proprietary AquaBeam Robotic System in 2009 to address many of the shortcomings of alternative surgical interventions by delivering our Aquablation therapy, the first and only image-guided robotic therapy for the treatment of BPH. We believe our Aquablation therapy provides the following unique combination of benefits:</w:t>
      </w:r>
    </w:p>
    <w:p>
      <w:pPr>
        <w:spacing w:after="0" w:line="108" w:lineRule="exact"/>
        <w:rPr>
          <w:sz w:val="20"/>
          <w:szCs w:val="20"/>
          <w:color w:val="auto"/>
        </w:rPr>
      </w:pPr>
    </w:p>
    <w:p>
      <w:pPr>
        <w:ind w:left="620" w:right="240" w:hanging="307"/>
        <w:spacing w:after="0" w:line="27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Significant and durable symptom relief. </w:t>
      </w:r>
      <w:r>
        <w:rPr>
          <w:rFonts w:ascii="Times New Roman" w:cs="Times New Roman" w:eastAsia="Times New Roman" w:hAnsi="Times New Roman"/>
          <w:sz w:val="17"/>
          <w:szCs w:val="17"/>
          <w:color w:val="auto"/>
        </w:rPr>
        <w:t>Given obstructive prostate tissue is removed during the procedure, Aquablation therapy has demonstrated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and long-lasting levels of symptom relief similar to those of alternative resective procedures. In our U.S. pivotal trial, Waterjet Ablation Therapy for Endoscopic Resection of prostate tissue, or the WATER study, Aquablation therapy demonstrated superior safety and non-inferior efficacy</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20"/>
        <w:spacing w:after="0" w:line="258" w:lineRule="auto"/>
        <w:rPr>
          <w:sz w:val="20"/>
          <w:szCs w:val="20"/>
          <w:color w:val="auto"/>
        </w:rPr>
      </w:pPr>
      <w:r>
        <w:rPr>
          <w:rFonts w:ascii="Times New Roman" w:cs="Times New Roman" w:eastAsia="Times New Roman" w:hAnsi="Times New Roman"/>
          <w:sz w:val="17"/>
          <w:szCs w:val="17"/>
          <w:color w:val="auto"/>
        </w:rPr>
        <w:t>results compared to transurethral resection of the prostate, or TURP, the historical standard of care for the surgical treatment of BPH. In the WATER and WATER II studies, surgical retreatment rates were only 5.2% at five years and 3.0% at five years, respectively. In the OPEN WATER study, there were no surgical retreatments at one year. The retreatment rates in the WATER and WATER II studies compare favorably to surgical retreatment rates observed for alternative treatments for BPH. One study published in the BJU International Journal reported on 52,748 men undergoing TURP or photoselective vaporization of the prostate or PVP, with an approximated three-year freedom from surgical retreatment of 92% and 89%, respectively. A second study published in the Journal of Urology reported on 43,041 men undergoing TURP, PVP, enucleation, or open simple prostatectomy with an approximated three-year freedom from surgical retreatment of 93%, 89%, 94%, and 96%, respectively.</w:t>
      </w:r>
    </w:p>
    <w:p>
      <w:pPr>
        <w:spacing w:after="0" w:line="122" w:lineRule="exact"/>
        <w:rPr>
          <w:sz w:val="20"/>
          <w:szCs w:val="20"/>
          <w:color w:val="auto"/>
        </w:rPr>
      </w:pPr>
    </w:p>
    <w:p>
      <w:pPr>
        <w:jc w:val="both"/>
        <w:ind w:left="620" w:right="720" w:hanging="307"/>
        <w:spacing w:after="0" w:line="27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Favorable safety profile. </w:t>
      </w:r>
      <w:r>
        <w:rPr>
          <w:rFonts w:ascii="Times New Roman" w:cs="Times New Roman" w:eastAsia="Times New Roman" w:hAnsi="Times New Roman"/>
          <w:sz w:val="17"/>
          <w:szCs w:val="17"/>
          <w:color w:val="auto"/>
        </w:rPr>
        <w:t>Aquablation therapy has demonstrated low rates of irreversible complications, including urinary incontinence, erectile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dysfunction and ejaculatory dysfunction, compared to published rates observed for other resective surgeries. In our WATER study, patients who underwent Aquablation therapy maintained a significantly higher level of sexual function compared to those who underwent TURP.</w:t>
      </w:r>
    </w:p>
    <w:p>
      <w:pPr>
        <w:spacing w:after="0" w:line="106" w:lineRule="exact"/>
        <w:rPr>
          <w:rFonts w:ascii="Times New Roman" w:cs="Times New Roman" w:eastAsia="Times New Roman" w:hAnsi="Times New Roman"/>
          <w:sz w:val="17"/>
          <w:szCs w:val="17"/>
          <w:color w:val="auto"/>
        </w:rPr>
      </w:pPr>
    </w:p>
    <w:p>
      <w:pPr>
        <w:ind w:left="620" w:right="20" w:hanging="307"/>
        <w:spacing w:after="0" w:line="26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Resection independent of prostate size and shape and surgeon experience. </w:t>
      </w:r>
      <w:r>
        <w:rPr>
          <w:rFonts w:ascii="Times New Roman" w:cs="Times New Roman" w:eastAsia="Times New Roman" w:hAnsi="Times New Roman"/>
          <w:sz w:val="17"/>
          <w:szCs w:val="17"/>
          <w:color w:val="auto"/>
        </w:rPr>
        <w:t>We designed Aquablation therapy to deliver outcomes that are effective, safe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durable for males suffering from LUTS due to BPH across all prostate sizes and shapes. Additionally, in the WATER and WATER II studies, 50% and 83% of men, respectively, had an obstructive median lobe, and the average prostate size in each study was 54 ml and 107 ml, respectively. Compared to other resective procedures, we believe Aquablation therapy is relatively simple to learn, enabled by the intuitive user interface of the conformal planning unit, or CPU, and automated robotic resection, and delivers resection that is independent of surgeon experience.</w:t>
      </w:r>
    </w:p>
    <w:p>
      <w:pPr>
        <w:spacing w:after="0" w:line="114" w:lineRule="exact"/>
        <w:rPr>
          <w:rFonts w:ascii="Times New Roman" w:cs="Times New Roman" w:eastAsia="Times New Roman" w:hAnsi="Times New Roman"/>
          <w:sz w:val="17"/>
          <w:szCs w:val="17"/>
          <w:color w:val="auto"/>
        </w:rPr>
      </w:pPr>
    </w:p>
    <w:p>
      <w:pPr>
        <w:ind w:left="620" w:hanging="307"/>
        <w:spacing w:after="0" w:line="27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Personalized treatment planning and improved decision-making. </w:t>
      </w:r>
      <w:r>
        <w:rPr>
          <w:rFonts w:ascii="Times New Roman" w:cs="Times New Roman" w:eastAsia="Times New Roman" w:hAnsi="Times New Roman"/>
          <w:sz w:val="17"/>
          <w:szCs w:val="17"/>
          <w:color w:val="auto"/>
        </w:rPr>
        <w:t>Aquablation therapy combines cystoscopic visualization, which uses a camera attached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a hollow tube, along with ultrasound imaging and advanced planning software to provide the surgeon with a multidimensional view of the treatment area and enables personalized treatment planning for the patient’s unique anatomy, improved decision-making and real-time monitoring during the procedure.</w:t>
      </w:r>
    </w:p>
    <w:p>
      <w:pPr>
        <w:spacing w:after="0" w:line="320" w:lineRule="exact"/>
        <w:rPr>
          <w:rFonts w:ascii="Times New Roman" w:cs="Times New Roman" w:eastAsia="Times New Roman" w:hAnsi="Times New Roman"/>
          <w:sz w:val="17"/>
          <w:szCs w:val="17"/>
          <w:color w:val="auto"/>
        </w:rPr>
      </w:pPr>
    </w:p>
    <w:p>
      <w:pPr>
        <w:ind w:left="620" w:hanging="307"/>
        <w:spacing w:after="0" w:line="27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Targeted and controlled resection with consistent resection times. </w:t>
      </w:r>
      <w:r>
        <w:rPr>
          <w:rFonts w:ascii="Times New Roman" w:cs="Times New Roman" w:eastAsia="Times New Roman" w:hAnsi="Times New Roman"/>
          <w:sz w:val="17"/>
          <w:szCs w:val="17"/>
          <w:color w:val="auto"/>
        </w:rPr>
        <w:t>Aquablation therapy utilizes automated robotic resection to remove prostate tissue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using a precise, heat-free waterjet. These features enable targeted and controlled tissue removal with rapid resection times that are highly consistent across prostate sizes and shapes and surgeon experience.</w:t>
      </w:r>
    </w:p>
    <w:p>
      <w:pPr>
        <w:spacing w:after="0" w:line="112"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We have developed a significant and growing body of clinical data that demonstrate the efficacy, safety and durability of Aquablation therapy, with resection that is independent of prostate size and shape and surgeon experience. Our robust body of clinical evidence includes nine clinical studies and over 150 peer-reviewed publications. Our WATER study is the only FDA pivotal study randomized against TURP.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We believe that as a result of our strong KOL network and our compelling clinical evidence, Aquablation therapy has been added to clinical guidelines of various professional associations, including the American Urological Association, European Association of Urology, Canadian Urological Association, German Urology Society, and National Institute for Health and Care Excellence.</w:t>
      </w:r>
    </w:p>
    <w:p>
      <w:pPr>
        <w:spacing w:after="0" w:line="127" w:lineRule="exact"/>
        <w:rPr>
          <w:sz w:val="20"/>
          <w:szCs w:val="20"/>
          <w:color w:val="auto"/>
        </w:rPr>
      </w:pPr>
    </w:p>
    <w:p>
      <w:pPr>
        <w:ind w:right="180" w:firstLine="309"/>
        <w:spacing w:after="0" w:line="257" w:lineRule="auto"/>
        <w:rPr>
          <w:sz w:val="20"/>
          <w:szCs w:val="20"/>
          <w:color w:val="auto"/>
        </w:rPr>
      </w:pPr>
      <w:r>
        <w:rPr>
          <w:rFonts w:ascii="Times New Roman" w:cs="Times New Roman" w:eastAsia="Times New Roman" w:hAnsi="Times New Roman"/>
          <w:sz w:val="17"/>
          <w:szCs w:val="17"/>
          <w:color w:val="auto"/>
        </w:rPr>
        <w:t>Currently, in the United States, we primarily sell our products to hospitals, or end customers, and to a lesser extent, distribution partners, ambulatory surgery centers and leasing companies. In addition to direct sales, we offer customers the ability to access our products through sales-type leasing arrangements. The end customers in turn bill various third-party payors, such as commercial payors and government agencies, for reimbursement for the procedures using our products. Effective in 2021, all local Medicare Administrative Contractors, or MACs, which represent 100% of eligible Medicare patients, issued final positive local coverage determinations to provide Medicare beneficiaries with access to Aquablation therapy in all 50 states so long as such beneficiaries meet certain clinical criteria set forth in the local coverage determination. We believe that our strong body of clinical evidence and support from key societies, supplemented by the momentum from Medicare coverage, have led to favorable coverage decisions from many large commercial payors, which we estimate allows access to Aquablation therapy to approximately 95% of all men in the United States. Outside of the United States, we have ongoing efforts in key markets to expand established coverage and improve payment which we believe will expand patient access to Aquablation therapy.</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We primarily sell our products through our direct sales organization in the United States, which targets urologists across the United States, who we believe represent the primary physician specialty managing the care of patients with BPH. We target approximately 2,700 hospitals that perform resective BPH procedures in the United States. We estimate that approximately 50% of BPH patients who are on drug therapy as well as 50% who have failed drug therapy are under the care of a urologist, equating to approximately 4.0 million men. We believe we can reach these patients by continuing to educate our network of urologists about the clinical benefits of Aquablation therapy, provide comprehensive training programs and deepen our relationships with key urologists and various medical societies. Outside the United States, we sell our products using both our direct sales organization and, in certain regions, our network of distribution partners.</w:t>
      </w:r>
    </w:p>
    <w:p>
      <w:pPr>
        <w:spacing w:after="0" w:line="122" w:lineRule="exact"/>
        <w:rPr>
          <w:sz w:val="20"/>
          <w:szCs w:val="20"/>
          <w:color w:val="auto"/>
        </w:rPr>
      </w:pPr>
    </w:p>
    <w:p>
      <w:pPr>
        <w:ind w:right="240" w:firstLine="309"/>
        <w:spacing w:after="0" w:line="270" w:lineRule="auto"/>
        <w:rPr>
          <w:sz w:val="20"/>
          <w:szCs w:val="20"/>
          <w:color w:val="auto"/>
        </w:rPr>
      </w:pPr>
      <w:r>
        <w:rPr>
          <w:rFonts w:ascii="Times New Roman" w:cs="Times New Roman" w:eastAsia="Times New Roman" w:hAnsi="Times New Roman"/>
          <w:sz w:val="17"/>
          <w:szCs w:val="17"/>
          <w:color w:val="auto"/>
        </w:rPr>
        <w:t>We generated revenue of $308.1 million and $224.5 million for the years ended December 31, 2025 and 2024, respectively, and incurred a net loss of $95.6 million and $91.4 million for the years ended December 31, 2025 and 2024, respectively. As of December 31, 2025, we had an accumulated deficit of $641.6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Strategies</w:t>
      </w:r>
    </w:p>
    <w:p>
      <w:pPr>
        <w:spacing w:after="0" w:line="169" w:lineRule="exact"/>
        <w:rPr>
          <w:sz w:val="20"/>
          <w:szCs w:val="20"/>
          <w:color w:val="auto"/>
        </w:rPr>
      </w:pPr>
    </w:p>
    <w:p>
      <w:pPr>
        <w:ind w:right="480" w:firstLine="309"/>
        <w:spacing w:after="0" w:line="287" w:lineRule="auto"/>
        <w:rPr>
          <w:sz w:val="20"/>
          <w:szCs w:val="20"/>
          <w:color w:val="auto"/>
        </w:rPr>
      </w:pPr>
      <w:r>
        <w:rPr>
          <w:rFonts w:ascii="Times New Roman" w:cs="Times New Roman" w:eastAsia="Times New Roman" w:hAnsi="Times New Roman"/>
          <w:sz w:val="17"/>
          <w:szCs w:val="17"/>
          <w:color w:val="auto"/>
        </w:rPr>
        <w:t>Our mission is to revolutionize BPH treatment globally in partnership with urologists by delivering best-in-class robotic solutions that positively impact patients and drive value. The key elements of our growth strategy are:</w:t>
      </w:r>
    </w:p>
    <w:p>
      <w:pPr>
        <w:spacing w:after="0" w:line="94" w:lineRule="exact"/>
        <w:rPr>
          <w:sz w:val="20"/>
          <w:szCs w:val="20"/>
          <w:color w:val="auto"/>
        </w:rPr>
      </w:pPr>
    </w:p>
    <w:p>
      <w:pPr>
        <w:ind w:left="620" w:right="60" w:hanging="307"/>
        <w:spacing w:after="0" w:line="259" w:lineRule="auto"/>
        <w:tabs>
          <w:tab w:leader="none" w:pos="616"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Grow our install base of robotic systems by driving adoption of Aquablation therapy among urologists. </w:t>
      </w:r>
      <w:r>
        <w:rPr>
          <w:rFonts w:ascii="Times New Roman" w:cs="Times New Roman" w:eastAsia="Times New Roman" w:hAnsi="Times New Roman"/>
          <w:sz w:val="17"/>
          <w:szCs w:val="17"/>
          <w:color w:val="auto"/>
        </w:rPr>
        <w:t>In the United States, we are focused on driving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adoption of Aquablation therapy among urologists that perform hospital-based resective BPH surgery. We estimate that approximately 300,000 of the approximate 400,000 annual BPH surgeries are resective procedures performed across approximately 2,700 hospitals. To penetrate these hospitals, we will continue to increase our direct team of capital sales representatives, who are focused on driving system placement within hospitals by engaging with key surgeons and decision makers to educate them about the compelling value proposition of Aquablation therapy. We have also established a strategic accounts team, to build relationships and sell to integrated delivery networks, or group purchasing organizations, among other strategic accounts. We also intend to increase awareness of Aquablation therapy by continuing to publish clinical data in various industry and scientific journals, present our clinical data at various industry conferences and sponsor peer-to-peer education programs and workshops.</w:t>
      </w:r>
    </w:p>
    <w:p>
      <w:pPr>
        <w:spacing w:after="0" w:line="117" w:lineRule="exact"/>
        <w:rPr>
          <w:rFonts w:ascii="Times New Roman" w:cs="Times New Roman" w:eastAsia="Times New Roman" w:hAnsi="Times New Roman"/>
          <w:sz w:val="17"/>
          <w:szCs w:val="17"/>
          <w:b w:val="1"/>
          <w:bCs w:val="1"/>
          <w:i w:val="1"/>
          <w:iCs w:val="1"/>
          <w:color w:val="auto"/>
        </w:rPr>
      </w:pPr>
    </w:p>
    <w:p>
      <w:pPr>
        <w:ind w:left="620" w:hanging="307"/>
        <w:spacing w:after="0" w:line="25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 system utilization by establishing Aquablation therapy as the surgical treatment of choice for BPH. </w:t>
      </w:r>
      <w:r>
        <w:rPr>
          <w:rFonts w:ascii="Times New Roman" w:cs="Times New Roman" w:eastAsia="Times New Roman" w:hAnsi="Times New Roman"/>
          <w:sz w:val="17"/>
          <w:szCs w:val="17"/>
          <w:color w:val="auto"/>
        </w:rPr>
        <w:t>Once we place a system within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customer, our objective is to establish Aquablation therapy as the surgical treatment of choice for BPH. Within each customer site, we are initially focused on targeting urologists who perform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will leverage their experiences to capture more surgical volumes and establish Aquablation therapy as the surgical standard of care. Over time, we intend to leverage our relationships with urologists to drive utilization of Aquablation therapy beyond the current surgical market. We estimate that approximately 50% of BPH patients who are on drug therapy as well as 50% who have failed drug therapy are under the care of a urologist, equating to approximately 4.0 million men. We believe we can reach these patients by continuing to educate our network of urologists of the clinical benefits of Aquablation therapy, provide comprehensive training programs and deepen our relationships with key urologists and various medical societies.</w:t>
      </w:r>
    </w:p>
    <w:p>
      <w:pPr>
        <w:spacing w:after="0" w:line="124" w:lineRule="exact"/>
        <w:rPr>
          <w:rFonts w:ascii="Times New Roman" w:cs="Times New Roman" w:eastAsia="Times New Roman" w:hAnsi="Times New Roman"/>
          <w:sz w:val="17"/>
          <w:szCs w:val="17"/>
          <w:color w:val="auto"/>
        </w:rPr>
      </w:pPr>
    </w:p>
    <w:p>
      <w:pPr>
        <w:ind w:left="620" w:right="60" w:hanging="307"/>
        <w:spacing w:after="0" w:line="25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broaden private payor coverage. </w:t>
      </w:r>
      <w:r>
        <w:rPr>
          <w:rFonts w:ascii="Times New Roman" w:cs="Times New Roman" w:eastAsia="Times New Roman" w:hAnsi="Times New Roman"/>
          <w:sz w:val="17"/>
          <w:szCs w:val="17"/>
          <w:color w:val="auto"/>
        </w:rPr>
        <w:t>Since the addition of Aquablation therapy to AUA clinical guidelines in May 2019, we have significantly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grown coverage for Aquablation therapy in the United States. Effective in 2021, all local MACs, which represent 100% of eligible Medicare patients, issued final positive local coverage determinations to provide Medicare beneficiaries with access to Aquablation therapy in all 50 states so long as such beneficiaries meet certain clinical criteria set forth in the local coverage determinations. We believe that these favorable coverage decisions have been a catalyst for adoption of our robotic systems. Our strong body of clinical evidence and support from key societies, supplemented by the momentum from Medicare coverage, have led to favorable coverage decisions from most large private payors, which we estimate allows access to Aquablation therapy for approximately 95% of all men in the United States. We plan to leverage these successes in our active discussions with private payors to establish additional positive national and regional coverage policies. Outside of the United States, we have ongoing efforts in key markets to expand established coverage and further improve patient access to Aquablation therapy.</w:t>
      </w:r>
    </w:p>
    <w:p>
      <w:pPr>
        <w:spacing w:after="0" w:line="119" w:lineRule="exact"/>
        <w:rPr>
          <w:rFonts w:ascii="Times New Roman" w:cs="Times New Roman" w:eastAsia="Times New Roman" w:hAnsi="Times New Roman"/>
          <w:sz w:val="17"/>
          <w:szCs w:val="17"/>
          <w:color w:val="auto"/>
        </w:rPr>
      </w:pPr>
    </w:p>
    <w:p>
      <w:pPr>
        <w:ind w:left="620" w:right="280" w:hanging="307"/>
        <w:spacing w:after="0" w:line="29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Build upon our strong base of clinical evidence. </w:t>
      </w:r>
      <w:r>
        <w:rPr>
          <w:rFonts w:ascii="Times New Roman" w:cs="Times New Roman" w:eastAsia="Times New Roman" w:hAnsi="Times New Roman"/>
          <w:sz w:val="17"/>
          <w:szCs w:val="17"/>
          <w:color w:val="auto"/>
        </w:rPr>
        <w:t>We are committed to continuing to build upon our foundation of clinical evidence, which we believe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will help drive increased awareness and adoption of our products. To further</w:t>
      </w: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strengthen this base, we plan to support new clinical studies aimed at advancing our commercial, regulatory, and reimbursement efforts.</w:t>
      </w:r>
    </w:p>
    <w:p>
      <w:pPr>
        <w:spacing w:after="0" w:line="172" w:lineRule="exact"/>
        <w:rPr>
          <w:sz w:val="20"/>
          <w:szCs w:val="20"/>
          <w:color w:val="auto"/>
        </w:rPr>
      </w:pPr>
    </w:p>
    <w:p>
      <w:pPr>
        <w:ind w:left="620" w:hanging="307"/>
        <w:spacing w:after="0" w:line="258" w:lineRule="auto"/>
        <w:tabs>
          <w:tab w:leader="none" w:pos="609" w:val="left"/>
        </w:tabs>
        <w:numPr>
          <w:ilvl w:val="0"/>
          <w:numId w:val="8"/>
        </w:numPr>
        <w:rPr>
          <w:rFonts w:ascii="Arial" w:cs="Arial" w:eastAsia="Arial" w:hAnsi="Arial"/>
          <w:sz w:val="19"/>
          <w:szCs w:val="19"/>
          <w:color w:val="auto"/>
        </w:rPr>
      </w:pPr>
      <w:r>
        <w:rPr>
          <w:rFonts w:ascii="Times New Roman" w:cs="Times New Roman" w:eastAsia="Times New Roman" w:hAnsi="Times New Roman"/>
          <w:sz w:val="17"/>
          <w:szCs w:val="17"/>
          <w:b w:val="1"/>
          <w:bCs w:val="1"/>
          <w:i w:val="1"/>
          <w:iCs w:val="1"/>
          <w:color w:val="auto"/>
        </w:rPr>
        <w:t xml:space="preserve">Invest in high quality clinical research to support the use of Aquablation therapy for prostate cancer. </w:t>
      </w:r>
      <w:r>
        <w:rPr>
          <w:rFonts w:ascii="Times New Roman" w:cs="Times New Roman" w:eastAsia="Times New Roman" w:hAnsi="Times New Roman"/>
          <w:sz w:val="17"/>
          <w:szCs w:val="17"/>
          <w:color w:val="auto"/>
        </w:rPr>
        <w:t>Currently, we are investing in two single arm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prostate cancer clinical trials (PRCT001 (BPH+PCa) and PRCT002 (feasibility IDE for PCa)) and one randomized FDA approved pivotal Investigational Device Exemption, or IDE, clinical trial. This pivotal IDE clinical trial, known as WATER IV PCa, is a global multi-center, prospective, randomized clinical study designed to assess the safety and efficacy of Aquablation therapy compared to radical prostatectomy in men with Grade Group 1 to 3 localized prostate cancer. We believe our investment in level one clinical research will support future commercial, regulatory and reimbursement efforts to drive growth.</w:t>
      </w:r>
    </w:p>
    <w:p>
      <w:pPr>
        <w:spacing w:after="0" w:line="119" w:lineRule="exact"/>
        <w:rPr>
          <w:rFonts w:ascii="Arial" w:cs="Arial" w:eastAsia="Arial" w:hAnsi="Arial"/>
          <w:sz w:val="19"/>
          <w:szCs w:val="19"/>
          <w:color w:val="auto"/>
        </w:rPr>
      </w:pPr>
    </w:p>
    <w:p>
      <w:pPr>
        <w:ind w:left="620" w:right="80" w:hanging="307"/>
        <w:spacing w:after="0" w:line="26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Invest in research and development to drive continuous improvements and innovation. </w:t>
      </w:r>
      <w:r>
        <w:rPr>
          <w:rFonts w:ascii="Times New Roman" w:cs="Times New Roman" w:eastAsia="Times New Roman" w:hAnsi="Times New Roman"/>
          <w:sz w:val="17"/>
          <w:szCs w:val="17"/>
          <w:color w:val="auto"/>
        </w:rPr>
        <w:t>We are currently developing additional and next generation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technologies to support and improve Aquablation therapy to further satisfy the evolving needs of surgeons and their patients as well as to further enhance the usability and scalability of our products. We also plan to leverage our treatment data and software development capabilities to further integrate and advance artificial intelligence and machine learning.</w:t>
      </w:r>
    </w:p>
    <w:p>
      <w:pPr>
        <w:spacing w:after="0" w:line="109" w:lineRule="exact"/>
        <w:rPr>
          <w:rFonts w:ascii="Times New Roman" w:cs="Times New Roman" w:eastAsia="Times New Roman" w:hAnsi="Times New Roman"/>
          <w:sz w:val="17"/>
          <w:szCs w:val="17"/>
          <w:color w:val="auto"/>
        </w:rPr>
      </w:pPr>
    </w:p>
    <w:p>
      <w:pPr>
        <w:ind w:left="620" w:right="100" w:hanging="307"/>
        <w:spacing w:after="0" w:line="26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Drive increased awareness of Aquablation therapy beyond the urology community. </w:t>
      </w:r>
      <w:r>
        <w:rPr>
          <w:rFonts w:ascii="Times New Roman" w:cs="Times New Roman" w:eastAsia="Times New Roman" w:hAnsi="Times New Roman"/>
          <w:sz w:val="17"/>
          <w:szCs w:val="17"/>
          <w:color w:val="auto"/>
        </w:rPr>
        <w:t>As we expand our network of urologists and grow our install base,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intend to increase awareness and brand recognition of Aquablation therapy beyond urologists, primarily among primary care physicians who manage BPH patients. We estimate that approximately 4.0 million men, including approximately 3.3 million patients who are on drug therapy and 600,000 who have failed drug therapy, are under the care of a primary care physician. To achieve this objective, we will invest in marketing initiatives directed at primary care physicians in order to expand networks for BPH patients to visit a urologist. Once we have established a broader install base of systems, we may seek to further increase patient awareness through various direct-to-patient marketing initiatives.</w:t>
      </w:r>
    </w:p>
    <w:p>
      <w:pPr>
        <w:spacing w:after="0" w:line="116" w:lineRule="exact"/>
        <w:rPr>
          <w:rFonts w:ascii="Times New Roman" w:cs="Times New Roman" w:eastAsia="Times New Roman" w:hAnsi="Times New Roman"/>
          <w:sz w:val="17"/>
          <w:szCs w:val="17"/>
          <w:color w:val="auto"/>
        </w:rPr>
      </w:pPr>
    </w:p>
    <w:p>
      <w:pPr>
        <w:ind w:left="620" w:right="120" w:hanging="307"/>
        <w:spacing w:after="0" w:line="26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Further penetrate and expand into existing and new international markets. </w:t>
      </w:r>
      <w:r>
        <w:rPr>
          <w:rFonts w:ascii="Times New Roman" w:cs="Times New Roman" w:eastAsia="Times New Roman" w:hAnsi="Times New Roman"/>
          <w:sz w:val="17"/>
          <w:szCs w:val="17"/>
          <w:color w:val="auto"/>
        </w:rPr>
        <w:t>We plan to establish and strengthen our presence internationally. While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United States remains our primary focus in the near-term, we are growing our existing presence in other markets by continuing to promote the clinical benefits of Aquablation therapy, supporting investments in clinical studies to improve coverage and reimbursement and fostering relationships with KOLs. We plan to strategically invest in new markets based on our assessment of market size and opportunity and prospects for compelling reimbursement.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Overview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Addressable Market Opportunity in BPH</w:t>
      </w:r>
    </w:p>
    <w:p>
      <w:pPr>
        <w:spacing w:after="0" w:line="171" w:lineRule="exact"/>
        <w:rPr>
          <w:sz w:val="20"/>
          <w:szCs w:val="20"/>
          <w:color w:val="auto"/>
        </w:rPr>
      </w:pPr>
    </w:p>
    <w:p>
      <w:pPr>
        <w:ind w:right="60" w:firstLine="309"/>
        <w:spacing w:after="0" w:line="264" w:lineRule="auto"/>
        <w:rPr>
          <w:sz w:val="20"/>
          <w:szCs w:val="20"/>
          <w:color w:val="auto"/>
        </w:rPr>
      </w:pPr>
      <w:r>
        <w:rPr>
          <w:rFonts w:ascii="Times New Roman" w:cs="Times New Roman" w:eastAsia="Times New Roman" w:hAnsi="Times New Roman"/>
          <w:sz w:val="17"/>
          <w:szCs w:val="17"/>
          <w:color w:val="auto"/>
        </w:rPr>
        <w:t>In the United States, BPH is the number one reason men visit a urologist. BPH is estimated to occur in more than 50% of men in their 50s, growing to 70% of men in their 60s, and is the fourth most common diagnosed disease in men above 50 years old, ranking behind coronary artery disease, hypertension and type 2 diabetes. BPH often results in uncomfortable LUTS, which can have a significant impact on quality of life. If left untreated, BPH may eventually lead to more serious complications.</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the United States, we estimate that approximately 40 million men are impacted by symptoms of BPH, with aging demographics expected to drive future growth. By 2060, we expect that the number of men over 65 years old in the United States will double and include a corresponding increase in the number of men with enlarged prostates. Of these men, approximately 12 million are being managed by a physician for symptoms related to their disease. While drug therapy is typically a first line treatment option, limited efficacy and negative side effects contribute to low patient compliance, high failure rates and drop outs. On the other hand, surgical intervention is proven to provide effective and durable symptom relief compared to drug therapy, but the use of surgery is significantly underpenetrated, largely due to the compromise patients must make between (1) the incidence of irreversible side effects associated with current resective surgical interventions, or (2) the lower rates of efficacy and durability associated with non-resective surgical interventions. Our total addressable patient population in the United States includes approximately 8.0 million patients, which include men receiving drug therapy, those who have recently failed medication and those who undergo surgical intervention. In calendar 2024, approximately 400,000 men underwent surgical intervention. Based on our recent average selling price of our single-use disposable handpiece, we estimate that our total addressable market opportunity, which includes men receiving drug therapy, those who have recently failed medication and those who undergo surgical intervention, is approximately $30 billion in the United States. The global incidence of BPH among men over 50 years old is similar to that of the United States, representing a significant incremental market opportunity outside of the United States.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 of the Prostate</w:t>
      </w:r>
    </w:p>
    <w:p>
      <w:pPr>
        <w:spacing w:after="0" w:line="171" w:lineRule="exact"/>
        <w:rPr>
          <w:sz w:val="20"/>
          <w:szCs w:val="20"/>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The prostate is a small gland in the male reproductive system. The prostate sits underneath the bladder and surrounds the top part of the urethra, which carries urine from the bladder.</w:t>
      </w:r>
    </w:p>
    <w:p>
      <w:pPr>
        <w:spacing w:after="0" w:line="100"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The prostate is approximately the size of a walnut in men younger than 30 years old; as men age, the prostate grows larger. At puberty, testosterone levels in boys start to increase and the prostate grows to about eight times its size. The prostate continues to grow, doubling in size between the ages of 21 and 50 years, and almost doubles again in size between the ages of 50 and 80 years. Prostate size is generally measured in volume using milliliters, or ml.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BPH Disease Overview and Diagnosis</w:t>
      </w:r>
    </w:p>
    <w:p>
      <w:pPr>
        <w:spacing w:after="0" w:line="171" w:lineRule="exact"/>
        <w:rPr>
          <w:sz w:val="20"/>
          <w:szCs w:val="20"/>
          <w:color w:val="auto"/>
        </w:rPr>
      </w:pPr>
    </w:p>
    <w:p>
      <w:pPr>
        <w:ind w:right="60" w:firstLine="309"/>
        <w:spacing w:after="0" w:line="270" w:lineRule="auto"/>
        <w:rPr>
          <w:sz w:val="20"/>
          <w:szCs w:val="20"/>
          <w:color w:val="auto"/>
        </w:rPr>
      </w:pPr>
      <w:r>
        <w:rPr>
          <w:rFonts w:ascii="Times New Roman" w:cs="Times New Roman" w:eastAsia="Times New Roman" w:hAnsi="Times New Roman"/>
          <w:sz w:val="17"/>
          <w:szCs w:val="17"/>
          <w:color w:val="auto"/>
        </w:rPr>
        <w:t>BPH refers to the non-malignant enlargement of the prostate gland. 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w:t>
      </w:r>
    </w:p>
    <w:p>
      <w:pPr>
        <w:spacing w:after="0" w:line="114"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According to the AUA guidelines, it is estimated that 90% of men between the ages of 45 and 80 will experience LUTS, and 50% of them will experience moderate-to-severe symptoms by the eighth decade of life, which we believe are predominantly caused by BPH. Furthermore, 50% of men between the ages of 51-60 have BPH pathology. According to our internal marketing survey, 99% of men diagnosed with BPH say symptoms impact their quality of life.</w:t>
      </w:r>
    </w:p>
    <w:p>
      <w:pPr>
        <w:spacing w:after="0" w:line="114"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7"/>
          <w:szCs w:val="17"/>
          <w:color w:val="auto"/>
        </w:rPr>
        <w:t>Clinical diagnosis of BPH typically involves a number of tests that are used to assess the degree of LUTS and determine whether the symptoms are caused by BPH or another condition. LUTS are classified as either mild, moderate or severe. Patients suffering from symptoms of BPH are typically first seen by a primary care physician, who may diagnose and manage the patient, or refer the patient to a urologist. Urologists are trained to perform surgery for various types of urologic conditions, including BPH.</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BPH Treatment Options</w:t>
      </w:r>
    </w:p>
    <w:p>
      <w:pPr>
        <w:spacing w:after="0" w:line="171" w:lineRule="exact"/>
        <w:rPr>
          <w:sz w:val="20"/>
          <w:szCs w:val="20"/>
          <w:color w:val="auto"/>
        </w:rPr>
      </w:pPr>
    </w:p>
    <w:p>
      <w:pPr>
        <w:ind w:right="240" w:firstLine="309"/>
        <w:spacing w:after="0" w:line="261" w:lineRule="auto"/>
        <w:rPr>
          <w:sz w:val="20"/>
          <w:szCs w:val="20"/>
          <w:color w:val="auto"/>
        </w:rPr>
      </w:pPr>
      <w:r>
        <w:rPr>
          <w:rFonts w:ascii="Times New Roman" w:cs="Times New Roman" w:eastAsia="Times New Roman" w:hAnsi="Times New Roman"/>
          <w:sz w:val="17"/>
          <w:szCs w:val="17"/>
          <w:color w:val="auto"/>
        </w:rPr>
        <w:t>The main goal of BPH treatment is to alleviate the symptoms associated with the disease and improve the patient’s quality of life. As such, a patient’s recommended course of treatment is largely based on the patient’s degree of symptoms. Patients are generally advised to implement lifestyle changes and return for yearly visits with their physician to determine if symptoms are changing. For most men, the prostate will continue to grow and symptoms will worsen. As symptoms become more bothersome, active treatment may be recommended. The two primary categories of active treatment for BPH are drug therapy and surgical intervention.</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Drug Therapy</w:t>
      </w:r>
    </w:p>
    <w:p>
      <w:pPr>
        <w:spacing w:after="0" w:line="169" w:lineRule="exact"/>
        <w:rPr>
          <w:sz w:val="20"/>
          <w:szCs w:val="20"/>
          <w:color w:val="auto"/>
        </w:rPr>
      </w:pPr>
    </w:p>
    <w:p>
      <w:pPr>
        <w:ind w:right="100" w:firstLine="309"/>
        <w:spacing w:after="0" w:line="260" w:lineRule="auto"/>
        <w:rPr>
          <w:sz w:val="20"/>
          <w:szCs w:val="20"/>
          <w:color w:val="auto"/>
        </w:rPr>
      </w:pPr>
      <w:r>
        <w:rPr>
          <w:rFonts w:ascii="Times New Roman" w:cs="Times New Roman" w:eastAsia="Times New Roman" w:hAnsi="Times New Roman"/>
          <w:sz w:val="17"/>
          <w:szCs w:val="17"/>
          <w:color w:val="auto"/>
        </w:rPr>
        <w:t>Drug therapy is often the first step in actively treating mild-to-moderate symptoms of BPH. While there is no pharmacological cure for BPH, drugs may be used to manage symptoms. Without surgical intervention, most men with BPH who start drug therapy will need to continue it indefinitely in order to relieve symptoms. While drug therapy can provide relief for some men, two out of three patients are not satisfied with the effectiveness of their medication. Drug therapy is also often associated with negative side effects, including headaches, dizziness, nausea, erectile dysfunction, ejaculatory dysfunction, loss of libido, cardiac failure and dementia. These side effects often contribute to poor treatment compliance, with drug therapy failing in up to 30% of men within two years. Furthermore, drug therapy may be costly, particularly in light of limited symptom relief.</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Surgical Intervention</w:t>
      </w:r>
    </w:p>
    <w:p>
      <w:pPr>
        <w:spacing w:after="0" w:line="169" w:lineRule="exact"/>
        <w:rPr>
          <w:sz w:val="20"/>
          <w:szCs w:val="20"/>
          <w:color w:val="auto"/>
        </w:rPr>
      </w:pPr>
    </w:p>
    <w:p>
      <w:pPr>
        <w:ind w:right="120" w:firstLine="309"/>
        <w:spacing w:after="0" w:line="264" w:lineRule="auto"/>
        <w:rPr>
          <w:sz w:val="20"/>
          <w:szCs w:val="20"/>
          <w:color w:val="auto"/>
        </w:rPr>
      </w:pPr>
      <w:r>
        <w:rPr>
          <w:rFonts w:ascii="Times New Roman" w:cs="Times New Roman" w:eastAsia="Times New Roman" w:hAnsi="Times New Roman"/>
          <w:sz w:val="17"/>
          <w:szCs w:val="17"/>
          <w:color w:val="auto"/>
        </w:rPr>
        <w:t>Surgical intervention is recommended for patients who have failed or are unwilling to consider drug therapy, or are suffering from complications due to their BPH. Although more invasive than drug therapy, surgical intervention generally provides more significant, longer-lasting symptom relief. We believe that growth in the use of surgical intervention over the past several years is due to the introduction of new technologies that better balance the compromise between efficacy and safety as well as growing awareness of surgical intervention as an effective way to manage BPH symptoms compared to drug therapy.</w:t>
      </w:r>
    </w:p>
    <w:p>
      <w:pPr>
        <w:spacing w:after="0" w:line="120" w:lineRule="exact"/>
        <w:rPr>
          <w:sz w:val="20"/>
          <w:szCs w:val="20"/>
          <w:color w:val="auto"/>
        </w:rPr>
      </w:pPr>
    </w:p>
    <w:p>
      <w:pPr>
        <w:ind w:right="720" w:firstLine="309"/>
        <w:spacing w:after="0" w:line="287" w:lineRule="auto"/>
        <w:rPr>
          <w:sz w:val="20"/>
          <w:szCs w:val="20"/>
          <w:color w:val="auto"/>
        </w:rPr>
      </w:pPr>
      <w:r>
        <w:rPr>
          <w:rFonts w:ascii="Times New Roman" w:cs="Times New Roman" w:eastAsia="Times New Roman" w:hAnsi="Times New Roman"/>
          <w:sz w:val="17"/>
          <w:szCs w:val="17"/>
          <w:color w:val="auto"/>
        </w:rPr>
        <w:t>There are two categories of surgical intervention, resective, where obstructive tissue is removed at the time of intervention, and non-resective, where obstructive tissue is not removed, but rather the prostatic urethra is re-shaped.</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Resective Procedures</w:t>
      </w: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firstLine="309"/>
        <w:spacing w:after="0" w:line="287" w:lineRule="auto"/>
        <w:rPr>
          <w:sz w:val="20"/>
          <w:szCs w:val="20"/>
          <w:color w:val="auto"/>
        </w:rPr>
      </w:pPr>
      <w:r>
        <w:rPr>
          <w:rFonts w:ascii="Times New Roman" w:cs="Times New Roman" w:eastAsia="Times New Roman" w:hAnsi="Times New Roman"/>
          <w:sz w:val="17"/>
          <w:szCs w:val="17"/>
          <w:color w:val="auto"/>
        </w:rPr>
        <w:t>Resective prostate procedures generally provide more significant and longer-lasting symptom relief than non-resective procedures, but may result in a higher incidence of irreversible complications, including urinary incontinence, erectile dysfunction and ejaculatory dysfunction.</w:t>
      </w:r>
    </w:p>
    <w:p>
      <w:pPr>
        <w:spacing w:after="0" w:line="100" w:lineRule="exact"/>
        <w:rPr>
          <w:sz w:val="20"/>
          <w:szCs w:val="20"/>
          <w:color w:val="auto"/>
        </w:rPr>
      </w:pPr>
    </w:p>
    <w:p>
      <w:pPr>
        <w:ind w:right="140" w:firstLine="309"/>
        <w:spacing w:after="0" w:line="287" w:lineRule="auto"/>
        <w:rPr>
          <w:sz w:val="20"/>
          <w:szCs w:val="20"/>
          <w:color w:val="auto"/>
        </w:rPr>
      </w:pPr>
      <w:r>
        <w:rPr>
          <w:rFonts w:ascii="Times New Roman" w:cs="Times New Roman" w:eastAsia="Times New Roman" w:hAnsi="Times New Roman"/>
          <w:sz w:val="17"/>
          <w:szCs w:val="17"/>
          <w:color w:val="auto"/>
        </w:rPr>
        <w:t>Resective surgeries may be performed endoscopically, allowing the procedure to be completed through a tubular instrument, or via an open or a laparoscopic procedure, called a simple prostatectomy.</w:t>
      </w:r>
    </w:p>
    <w:p>
      <w:pPr>
        <w:spacing w:after="0" w:line="100"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Endoscopic procedures access the prostate through the urethra, so no incisions are made in the patient’s abdomen. Common alternative endoscopic resective procedures include:</w:t>
      </w:r>
    </w:p>
    <w:p>
      <w:pPr>
        <w:spacing w:after="0" w:line="96" w:lineRule="exact"/>
        <w:rPr>
          <w:sz w:val="20"/>
          <w:szCs w:val="20"/>
          <w:color w:val="auto"/>
        </w:rPr>
      </w:pPr>
    </w:p>
    <w:p>
      <w:pPr>
        <w:ind w:left="620" w:right="220" w:hanging="307"/>
        <w:spacing w:after="0" w:line="272"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Transurethral Resection of the Prostate. </w:t>
      </w:r>
      <w:r>
        <w:rPr>
          <w:rFonts w:ascii="Times New Roman" w:cs="Times New Roman" w:eastAsia="Times New Roman" w:hAnsi="Times New Roman"/>
          <w:sz w:val="17"/>
          <w:szCs w:val="17"/>
          <w:color w:val="auto"/>
        </w:rPr>
        <w:t>TURP is a resective procedure which uses electrocautery to cut and remove prostate tissue. Despite being used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almost a century, this procedure is still the most frequently performed resective surgery and is considered the historical standard of care for the surgical treatment of BPH for prostates less than 80 ml.</w:t>
      </w:r>
    </w:p>
    <w:p>
      <w:pPr>
        <w:spacing w:after="0" w:line="108" w:lineRule="exact"/>
        <w:rPr>
          <w:rFonts w:ascii="Times New Roman" w:cs="Times New Roman" w:eastAsia="Times New Roman" w:hAnsi="Times New Roman"/>
          <w:sz w:val="17"/>
          <w:szCs w:val="17"/>
          <w:color w:val="auto"/>
        </w:rPr>
      </w:pPr>
    </w:p>
    <w:p>
      <w:pPr>
        <w:ind w:left="620" w:right="120" w:hanging="307"/>
        <w:spacing w:after="0" w:line="272"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Photoselective Vaporization of the Prostate, or PVP. </w:t>
      </w:r>
      <w:r>
        <w:rPr>
          <w:rFonts w:ascii="Times New Roman" w:cs="Times New Roman" w:eastAsia="Times New Roman" w:hAnsi="Times New Roman"/>
          <w:sz w:val="17"/>
          <w:szCs w:val="17"/>
          <w:color w:val="auto"/>
        </w:rPr>
        <w:t>PVP is a transurethral form of treatment that utilizes a laser fiber to vaporize prostate tissue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sequentially outwards until the surgeon creates a sufficient cavity through which the patient may now void. PVP is generally used in patients with small-to average-sized prostates and can be used in patients who are at high risk of bleeding complications.</w:t>
      </w:r>
    </w:p>
    <w:p>
      <w:pPr>
        <w:spacing w:after="0" w:line="108" w:lineRule="exact"/>
        <w:rPr>
          <w:rFonts w:ascii="Times New Roman" w:cs="Times New Roman" w:eastAsia="Times New Roman" w:hAnsi="Times New Roman"/>
          <w:sz w:val="17"/>
          <w:szCs w:val="17"/>
          <w:color w:val="auto"/>
        </w:rPr>
      </w:pPr>
    </w:p>
    <w:p>
      <w:pPr>
        <w:ind w:left="620" w:right="100" w:hanging="307"/>
        <w:spacing w:after="0" w:line="266"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Laser Enucleation of the Prostate. </w:t>
      </w:r>
      <w:r>
        <w:rPr>
          <w:rFonts w:ascii="Times New Roman" w:cs="Times New Roman" w:eastAsia="Times New Roman" w:hAnsi="Times New Roman"/>
          <w:sz w:val="17"/>
          <w:szCs w:val="17"/>
          <w:color w:val="auto"/>
        </w:rPr>
        <w:t>Laser enucleation utilizes a surgical laser to manually resect prostate tissue through the urethra. This procedure allows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surgeon to follow anatomic planes to separate entire lobes of the prostate. In general, separated prostate lobes are then pushed into the bladder and suctioned out via a special tool. Laser enucleation is prostate size-independent; however, this procedure is more commonly used in larger prostates, and adoption has been limited due to the high degree of skill, training and experience required.</w:t>
      </w:r>
    </w:p>
    <w:p>
      <w:pPr>
        <w:spacing w:after="0" w:line="117"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A simple prostatectomy is an invasive, open procedure that requires one or more incisions to be made in the patient’s abdomen to access and remove part or all of the prostate. This procedure is typically a last resort treatment for BPH in patients with very large prostates or those patients with severe complications due to BPH. This surgery may be done manually, or with the assistance of a robot, but in either case, it is a procedure that requires a high degree of surgeon skill.</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Non-Resective Procedures</w:t>
      </w:r>
    </w:p>
    <w:p>
      <w:pPr>
        <w:spacing w:after="0" w:line="169"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In non-resective procedures, prostate tissue is not removed at the time of surgery. By not removing tissue, symptom relief is generally less significant and durable compared to resective procedures. Non-resective procedures are generally approved for small- to average-sized prostates.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of Alternative Surgical Interventions</w:t>
      </w:r>
    </w:p>
    <w:p>
      <w:pPr>
        <w:spacing w:after="0" w:line="171"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Two factors that surgeons and patients commonly consider when evaluating surgical intervention are efficacy and safety. Efficacy is generally measured by the degree and durability of symptom relief, and safety by the occurrence of irreversible complications such as urinary incontinence, erectile dysfunction and ejaculatory dysfunction. We believe that alternative surgical interventions for BPH require patients to compromise between efficacy and safety. Alternative interventions either provide significant symptom relief with a heightened risk of irreversible complications or a lower risk of complications with significantly less symptom relief. In addition, most alternative surgical interventions are limited by prostate size and shape, with no single procedure capable of effectively addressing the full range of prostate anatomies. We believe that the compromise and limitations associated with alternative surgical interventions have contributed to the relatively low penetration rate of surgical intervention.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of Endoscopic Resective Procedures</w:t>
      </w:r>
    </w:p>
    <w:p>
      <w:pPr>
        <w:spacing w:after="0" w:line="171" w:lineRule="exact"/>
        <w:rPr>
          <w:sz w:val="20"/>
          <w:szCs w:val="20"/>
          <w:color w:val="auto"/>
        </w:rPr>
      </w:pPr>
    </w:p>
    <w:p>
      <w:pPr>
        <w:ind w:right="360" w:firstLine="309"/>
        <w:spacing w:after="0" w:line="287" w:lineRule="auto"/>
        <w:rPr>
          <w:sz w:val="20"/>
          <w:szCs w:val="20"/>
          <w:color w:val="auto"/>
        </w:rPr>
      </w:pPr>
      <w:r>
        <w:rPr>
          <w:rFonts w:ascii="Times New Roman" w:cs="Times New Roman" w:eastAsia="Times New Roman" w:hAnsi="Times New Roman"/>
          <w:sz w:val="17"/>
          <w:szCs w:val="17"/>
          <w:color w:val="auto"/>
        </w:rPr>
        <w:t>While endoscopic resective surgeries such as TURP and laser-based procedures may provide BPH patients with durable symptom relief, these procedures have a number of limitations, including:</w:t>
      </w:r>
    </w:p>
    <w:p>
      <w:pPr>
        <w:spacing w:after="0" w:line="96" w:lineRule="exact"/>
        <w:rPr>
          <w:sz w:val="20"/>
          <w:szCs w:val="20"/>
          <w:color w:val="auto"/>
        </w:rPr>
      </w:pPr>
    </w:p>
    <w:p>
      <w:pPr>
        <w:ind w:left="620" w:hanging="307"/>
        <w:spacing w:after="0" w:line="261"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High rates of irreversible complications. </w:t>
      </w:r>
      <w:r>
        <w:rPr>
          <w:rFonts w:ascii="Times New Roman" w:cs="Times New Roman" w:eastAsia="Times New Roman" w:hAnsi="Times New Roman"/>
          <w:sz w:val="17"/>
          <w:szCs w:val="17"/>
          <w:color w:val="auto"/>
        </w:rPr>
        <w:t>Irreversible complications are a common side effect of endoscopic resective procedures. Published studies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shown rates of erectile dysfunction as high as 14%, 20% and 8%, ejaculatory dysfunction as high as 89%, 50% and 77%, and incontinence as high as 2%, 2%, and 33% for TURP, PVP and laser enucleation, respectively. We believe the high rates of irreversible complications are in large part due to these technologies utilizing heat to remove prostate tissue, which may lead to unintended thermal damage to critical parts of the anatomy. Furthermore, minimal intraoperative visualization, which is generally limited to a cystoscope, provides limited visibility of the prostate and makes it difficult for the surgeon to see and preserve</w:t>
      </w:r>
    </w:p>
    <w:p>
      <w:pPr>
        <w:spacing w:after="0" w:line="200" w:lineRule="exact"/>
        <w:rPr>
          <w:sz w:val="20"/>
          <w:szCs w:val="20"/>
          <w:color w:val="auto"/>
        </w:rPr>
      </w:pP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120"/>
        <w:spacing w:after="0" w:line="270" w:lineRule="auto"/>
        <w:rPr>
          <w:sz w:val="20"/>
          <w:szCs w:val="20"/>
          <w:color w:val="auto"/>
        </w:rPr>
      </w:pPr>
      <w:r>
        <w:rPr>
          <w:rFonts w:ascii="Times New Roman" w:cs="Times New Roman" w:eastAsia="Times New Roman" w:hAnsi="Times New Roman"/>
          <w:sz w:val="17"/>
          <w:szCs w:val="17"/>
          <w:color w:val="auto"/>
        </w:rPr>
        <w:t>critical parts of the prostate during tissue resection. This results in highly variable depth of tissue penetration, damage to tissue which may extend deeper than cavity created, a potential for unintended prostate capsule perforation, potential damage to nerve bundle responsible for erectile function, and delayed healing of prostatic urethra.</w:t>
      </w:r>
    </w:p>
    <w:p>
      <w:pPr>
        <w:spacing w:after="0" w:line="110" w:lineRule="exact"/>
        <w:rPr>
          <w:sz w:val="20"/>
          <w:szCs w:val="20"/>
          <w:color w:val="auto"/>
        </w:rPr>
      </w:pPr>
    </w:p>
    <w:p>
      <w:pPr>
        <w:ind w:left="620" w:right="40" w:hanging="307"/>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Prostate size limitations. </w:t>
      </w:r>
      <w:r>
        <w:rPr>
          <w:rFonts w:ascii="Times New Roman" w:cs="Times New Roman" w:eastAsia="Times New Roman" w:hAnsi="Times New Roman"/>
          <w:sz w:val="17"/>
          <w:szCs w:val="17"/>
          <w:color w:val="auto"/>
        </w:rPr>
        <w:t>While TURP is considered the standard of care for surgical treatment of BPH, it is generally reserved for small- to average-sized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prostates below 80 ml given the length and manual nature of the procedure. For laser-based therapies, PVP is also most commonly used for small- to average-sized prostates, while laser enucleation is generally reserved for treating patients with larger prostates.</w:t>
      </w:r>
    </w:p>
    <w:p>
      <w:pPr>
        <w:spacing w:after="0" w:line="108" w:lineRule="exact"/>
        <w:rPr>
          <w:rFonts w:ascii="Times New Roman" w:cs="Times New Roman" w:eastAsia="Times New Roman" w:hAnsi="Times New Roman"/>
          <w:sz w:val="17"/>
          <w:szCs w:val="17"/>
          <w:color w:val="auto"/>
        </w:rPr>
      </w:pPr>
    </w:p>
    <w:p>
      <w:pPr>
        <w:ind w:left="620" w:hanging="307"/>
        <w:spacing w:after="0" w:line="261"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Experience dependent outcomes and long learning curves. </w:t>
      </w:r>
      <w:r>
        <w:rPr>
          <w:rFonts w:ascii="Times New Roman" w:cs="Times New Roman" w:eastAsia="Times New Roman" w:hAnsi="Times New Roman"/>
          <w:sz w:val="17"/>
          <w:szCs w:val="17"/>
          <w:color w:val="auto"/>
        </w:rPr>
        <w:t>Endoscopic resective procedures rely on manual resection of the prostate, with clinical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outcomes often highly dependent on the surgeon’s experience level. For example, a study of a large number of patients undergoing TURP found that the rate of reoperation was 1.2-fold higher in men treated by surgeons who had performed 172 or fewer TURP procedures versus surgeons that had performed more than 402 TURP procedures. In addition, a study of 200 procedures by a surgeon performing PVP showed that the surgeon required at least 120 procedures to achieve optimal clinical outcomes. Furthermore, a study of surgeons learning to perform laser enucleation demonstrated that one-third of the surgeons failed to complete the training program.</w:t>
      </w:r>
    </w:p>
    <w:p>
      <w:pPr>
        <w:spacing w:after="0" w:line="116" w:lineRule="exact"/>
        <w:rPr>
          <w:rFonts w:ascii="Times New Roman" w:cs="Times New Roman" w:eastAsia="Times New Roman" w:hAnsi="Times New Roman"/>
          <w:sz w:val="17"/>
          <w:szCs w:val="17"/>
          <w:color w:val="auto"/>
        </w:rPr>
      </w:pPr>
    </w:p>
    <w:p>
      <w:pPr>
        <w:jc w:val="both"/>
        <w:ind w:left="620" w:right="800" w:hanging="307"/>
        <w:spacing w:after="0" w:line="29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Inconsistent and lengthy resection times. </w:t>
      </w:r>
      <w:r>
        <w:rPr>
          <w:rFonts w:ascii="Times New Roman" w:cs="Times New Roman" w:eastAsia="Times New Roman" w:hAnsi="Times New Roman"/>
          <w:sz w:val="17"/>
          <w:szCs w:val="17"/>
          <w:color w:val="auto"/>
        </w:rPr>
        <w:t>Endoscopic resective procedures require manual resection of prostate tissue performed under limited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visualization. This manual process contributes to highly inconsistent and lengthy resection times that are strongly correlated with prostate size.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of a Simple Prostatectomy</w:t>
      </w:r>
    </w:p>
    <w:p>
      <w:pPr>
        <w:spacing w:after="0" w:line="17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While a simple prostatectomy typically provides maximum symptom relief by removing part or all of the prostate gland, this procedure is generally considered a treatment of last resort reserved for patients with large prostates. Limitations of a simple prostatectomy include:</w:t>
      </w:r>
    </w:p>
    <w:p>
      <w:pPr>
        <w:spacing w:after="0" w:line="96" w:lineRule="exact"/>
        <w:rPr>
          <w:sz w:val="20"/>
          <w:szCs w:val="20"/>
          <w:color w:val="auto"/>
        </w:rPr>
      </w:pPr>
    </w:p>
    <w:p>
      <w:pPr>
        <w:ind w:left="620" w:right="40" w:hanging="307"/>
        <w:spacing w:after="0" w:line="29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Surgical safety concerns. </w:t>
      </w:r>
      <w:r>
        <w:rPr>
          <w:rFonts w:ascii="Times New Roman" w:cs="Times New Roman" w:eastAsia="Times New Roman" w:hAnsi="Times New Roman"/>
          <w:sz w:val="17"/>
          <w:szCs w:val="17"/>
          <w:color w:val="auto"/>
        </w:rPr>
        <w:t>Even when performed robotically, a simple prostatectomy still requires incisions to be made in the patient’s abdomen in order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access the prostate gland. Bleeding events are a key risk in these types of procedures, with transfusion rates as high as 25%.</w:t>
      </w:r>
    </w:p>
    <w:p>
      <w:pPr>
        <w:spacing w:after="0" w:line="91" w:lineRule="exact"/>
        <w:rPr>
          <w:rFonts w:ascii="Times New Roman" w:cs="Times New Roman" w:eastAsia="Times New Roman" w:hAnsi="Times New Roman"/>
          <w:sz w:val="17"/>
          <w:szCs w:val="17"/>
          <w:color w:val="auto"/>
        </w:rPr>
      </w:pPr>
    </w:p>
    <w:p>
      <w:pPr>
        <w:ind w:left="620" w:right="520" w:hanging="307"/>
        <w:spacing w:after="0" w:line="29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High rates of irreversible complications. </w:t>
      </w:r>
      <w:r>
        <w:rPr>
          <w:rFonts w:ascii="Times New Roman" w:cs="Times New Roman" w:eastAsia="Times New Roman" w:hAnsi="Times New Roman"/>
          <w:sz w:val="17"/>
          <w:szCs w:val="17"/>
          <w:color w:val="auto"/>
        </w:rPr>
        <w:t>Similar to endoscopic resective procedures, open procedures commonly result in high rates of irreversible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complications, with studies showing erectile, ejaculatory dysfunction and incontinence rates as high as 2-3%, 90% and 8%, respectively.</w:t>
      </w:r>
    </w:p>
    <w:p>
      <w:pPr>
        <w:spacing w:after="0" w:line="91" w:lineRule="exact"/>
        <w:rPr>
          <w:rFonts w:ascii="Times New Roman" w:cs="Times New Roman" w:eastAsia="Times New Roman" w:hAnsi="Times New Roman"/>
          <w:sz w:val="17"/>
          <w:szCs w:val="17"/>
          <w:color w:val="auto"/>
        </w:rPr>
      </w:pPr>
    </w:p>
    <w:p>
      <w:pPr>
        <w:ind w:left="620" w:right="480" w:hanging="307"/>
        <w:spacing w:after="0" w:line="29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Long hospital stays and recovery time. </w:t>
      </w:r>
      <w:r>
        <w:rPr>
          <w:rFonts w:ascii="Times New Roman" w:cs="Times New Roman" w:eastAsia="Times New Roman" w:hAnsi="Times New Roman"/>
          <w:sz w:val="17"/>
          <w:szCs w:val="17"/>
          <w:color w:val="auto"/>
        </w:rPr>
        <w:t>Given the invasiveness of open procedures, long hospital stays and post-procedure recovery are common.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patients typically stay in the hospital for an average of five days after surgery and have long recovery times.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Solution</w:t>
      </w:r>
    </w:p>
    <w:p>
      <w:pPr>
        <w:spacing w:after="0" w:line="169" w:lineRule="exact"/>
        <w:rPr>
          <w:sz w:val="20"/>
          <w:szCs w:val="20"/>
          <w:color w:val="auto"/>
        </w:rPr>
      </w:pPr>
    </w:p>
    <w:p>
      <w:pPr>
        <w:ind w:right="20" w:firstLine="309"/>
        <w:spacing w:after="0" w:line="256" w:lineRule="auto"/>
        <w:rPr>
          <w:sz w:val="20"/>
          <w:szCs w:val="20"/>
          <w:color w:val="auto"/>
        </w:rPr>
      </w:pPr>
      <w:r>
        <w:rPr>
          <w:rFonts w:ascii="Times New Roman" w:cs="Times New Roman" w:eastAsia="Times New Roman" w:hAnsi="Times New Roman"/>
          <w:sz w:val="17"/>
          <w:szCs w:val="17"/>
          <w:color w:val="auto"/>
        </w:rPr>
        <w:t>Our first generation AquaBeam Robotic System, an advanced, image-guided, surgical robotic system for use in minimally invasive urologic surgery, received De Novo FDA approval in December 2017. In August 2024, we received FDA 510(k) clearance of our next-generation platform – the HYDROS Robotic System. Our proprietary AquaBeam Robotic System and HYDROS Robotic System each deliver our Aquablation therapy, the first and only image-guided robotic therapy for the treatment of BPH. In August 2023, we received 510(k) clearance from FDA to remove the contraindication from our labeling that restricted Aquablation therapy from treating BPH in patients that also have an active diagnosis of prostate cancer. The most common side effects observed for Aquablation therapy are mild and transient and may include mild pain or difficulty when urinating, discomfort in the pelvis, blood in the urine, inability to empty the bladder or a frequent or urgent need to urinate, and bladder or urinary tract infection. During our clinical studies, we documented a rate of incontinence between 0%-2%, ejaculatory dysfunction between 6.9%-24.6%, and a peri-operative transfusion rate between 0.9%-5.9%. Since then, a number of publications have reported on transfusion rates. A key study published in April 2021 of 2,089 men undergoing Aquablation therapy with prostates ranging in size from 20 ml to 363 ml observed a transfusion rate of only 0.8%. Additionally, we published our WATER III study in 2025 of 186 men comparing Aquablation therapy to laser enucleation in prostate sizes between 80 ml to 180 ml. At three months, Aquablation therapy delivered similar symptom relief to laser enucleation, while demonstrating a zero percent transfusion rate and significantly lower rates of ejaculatory dysfunction and incontinence, in the study.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Robotic Systems</w:t>
      </w: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475615</wp:posOffset>
            </wp:positionV>
            <wp:extent cx="2766695" cy="2521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669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232"/>
        <w:spacing w:after="0" w:line="264" w:lineRule="auto"/>
        <w:rPr>
          <w:sz w:val="20"/>
          <w:szCs w:val="20"/>
          <w:color w:val="auto"/>
        </w:rPr>
      </w:pPr>
      <w:r>
        <w:rPr>
          <w:rFonts w:ascii="Times New Roman" w:cs="Times New Roman" w:eastAsia="Times New Roman" w:hAnsi="Times New Roman"/>
          <w:sz w:val="17"/>
          <w:szCs w:val="17"/>
          <w:color w:val="auto"/>
        </w:rPr>
        <w:t>We design and market two robotic systems: the next-generation HYDROS Robotic System where cleared, and the first-generation AquaBeam Robotic System. Both systems leverage a heat-free waterjet for automatic robotic execution, reducing the risk of complications associated with prolonged thermal injury. They also feature real-time image guidance that integrates intraoperative ultrasound imaging with cystoscopic visualization, offering a multidimensional view of the treatment area to enhance decision-making and enable real-time monitoring during procedures.</w:t>
      </w:r>
    </w:p>
    <w:p>
      <w:pPr>
        <w:spacing w:after="0" w:line="120" w:lineRule="exact"/>
        <w:rPr>
          <w:sz w:val="20"/>
          <w:szCs w:val="20"/>
          <w:color w:val="auto"/>
        </w:rPr>
      </w:pPr>
    </w:p>
    <w:p>
      <w:pPr>
        <w:ind w:firstLine="265"/>
        <w:spacing w:after="0" w:line="261" w:lineRule="auto"/>
        <w:rPr>
          <w:sz w:val="20"/>
          <w:szCs w:val="20"/>
          <w:color w:val="auto"/>
        </w:rPr>
      </w:pPr>
      <w:r>
        <w:rPr>
          <w:rFonts w:ascii="Times New Roman" w:cs="Times New Roman" w:eastAsia="Times New Roman" w:hAnsi="Times New Roman"/>
          <w:sz w:val="17"/>
          <w:szCs w:val="17"/>
          <w:color w:val="auto"/>
        </w:rPr>
        <w:t>The robotic systems support personalized treatment planning through advanced software and ultrasound imaging, allowing surgeons to map the treatment contour to precisely target the resection area and optimize tissue removal based on each patient’s unique anatomy. With the introduction of the HYDROS Robotic System in August 2024, we unveiled the FirstAssist AI feature. This innovation combines ultrasound imaging with advanced planning software to assist urologists in identifying key anatomical landmarks, enabling precise targeting of the resection area using the waterjet. By tailoring the tissue removal plan to individual anatomy, the FirstAssist AI feature aims to enhance procedural accuracy and outcomes.</w:t>
      </w:r>
    </w:p>
    <w:p>
      <w:pPr>
        <w:spacing w:after="0" w:line="123" w:lineRule="exact"/>
        <w:rPr>
          <w:sz w:val="20"/>
          <w:szCs w:val="20"/>
          <w:color w:val="auto"/>
        </w:rPr>
      </w:pPr>
    </w:p>
    <w:p>
      <w:pPr>
        <w:ind w:right="520" w:firstLine="265"/>
        <w:spacing w:after="0" w:line="270" w:lineRule="auto"/>
        <w:rPr>
          <w:sz w:val="20"/>
          <w:szCs w:val="20"/>
          <w:color w:val="auto"/>
        </w:rPr>
      </w:pPr>
      <w:r>
        <w:rPr>
          <w:rFonts w:ascii="Times New Roman" w:cs="Times New Roman" w:eastAsia="Times New Roman" w:hAnsi="Times New Roman"/>
          <w:sz w:val="17"/>
          <w:szCs w:val="17"/>
          <w:color w:val="auto"/>
        </w:rPr>
        <w:t>Structurally, the HYDROS Robotic System fully integrates an advanced ultrasound system and a digital cystoscope providing the ability to improve visualization and streamline the operating room setup process. Additionally, the HYDROS Handpiece comes pre-assembled with a single-use digital scope eliminating the need for reprocessing the cystoscope between procedures.</w:t>
      </w:r>
    </w:p>
    <w:p>
      <w:pPr>
        <w:spacing w:after="0" w:line="114" w:lineRule="exact"/>
        <w:rPr>
          <w:sz w:val="20"/>
          <w:szCs w:val="20"/>
          <w:color w:val="auto"/>
        </w:rPr>
      </w:pPr>
    </w:p>
    <w:p>
      <w:pPr>
        <w:ind w:right="240" w:firstLine="265"/>
        <w:spacing w:after="0" w:line="287" w:lineRule="auto"/>
        <w:rPr>
          <w:sz w:val="20"/>
          <w:szCs w:val="20"/>
          <w:color w:val="auto"/>
        </w:rPr>
      </w:pPr>
      <w:r>
        <w:rPr>
          <w:rFonts w:ascii="Times New Roman" w:cs="Times New Roman" w:eastAsia="Times New Roman" w:hAnsi="Times New Roman"/>
          <w:sz w:val="17"/>
          <w:szCs w:val="17"/>
          <w:color w:val="auto"/>
        </w:rPr>
        <w:t>These advanced features are designed to further deliver safe, effective, and durable outcomes for men suffering from lower urinary tract symptoms (LUTS) caused by BPH, regardless of prostate size and shape and resection independent of surgeon experience.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Key Benefits of Aquablation Therapy</w:t>
      </w:r>
    </w:p>
    <w:p>
      <w:pPr>
        <w:spacing w:after="0" w:line="249" w:lineRule="exact"/>
        <w:rPr>
          <w:sz w:val="20"/>
          <w:szCs w:val="20"/>
          <w:color w:val="auto"/>
        </w:rPr>
      </w:pPr>
    </w:p>
    <w:p>
      <w:pPr>
        <w:ind w:right="320" w:firstLine="309"/>
        <w:spacing w:after="0" w:line="287" w:lineRule="auto"/>
        <w:rPr>
          <w:sz w:val="20"/>
          <w:szCs w:val="20"/>
          <w:color w:val="auto"/>
        </w:rPr>
      </w:pPr>
      <w:r>
        <w:rPr>
          <w:rFonts w:ascii="Times New Roman" w:cs="Times New Roman" w:eastAsia="Times New Roman" w:hAnsi="Times New Roman"/>
          <w:sz w:val="17"/>
          <w:szCs w:val="17"/>
          <w:color w:val="auto"/>
        </w:rPr>
        <w:t>We believe our Aquablation therapy minimizes the compromise between safety and efficacy of alternative surgical interventions, providing the following unique benefits:</w:t>
      </w:r>
    </w:p>
    <w:p>
      <w:pPr>
        <w:spacing w:after="0" w:line="197"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and durable symptom relief;</w:t>
      </w:r>
    </w:p>
    <w:p>
      <w:pPr>
        <w:spacing w:after="0" w:line="13"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favorable safety profile compared to other BPH resective procedures;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outcomes consistent across all prostate sizes and shapes and resection independent of surgeon experience;</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personalized treatment planning and improved decision-making; and</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targeted and controlled resection with consistent resection times.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Clinical Results and Studies</w:t>
      </w:r>
    </w:p>
    <w:p>
      <w:pPr>
        <w:spacing w:after="0" w:line="247" w:lineRule="exact"/>
        <w:rPr>
          <w:sz w:val="20"/>
          <w:szCs w:val="20"/>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A significant body of clinical evidence supports the efficacy, safety and durability of Aquablation therapy across prostate sizes and shapes as well as surgeon experience. This robust body of evidence includes more than 150 peer-</w:t>
      </w:r>
    </w:p>
    <w:p>
      <w:pPr>
        <w:spacing w:after="0" w:line="200" w:lineRule="exact"/>
        <w:rPr>
          <w:sz w:val="20"/>
          <w:szCs w:val="20"/>
          <w:color w:val="auto"/>
        </w:rPr>
      </w:pPr>
    </w:p>
    <w:p>
      <w:pPr>
        <w:spacing w:after="0" w:line="3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78"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reviewed publications in premier journals, such as the Journal of Urology, European Urology and BJU International, as well as nine clinical studies, including our four core studies: WATER, WATER II, WATER III and OPEN WATER.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Prostate Therapy</w:t>
      </w:r>
    </w:p>
    <w:p>
      <w:pPr>
        <w:spacing w:after="0" w:line="243" w:lineRule="exact"/>
        <w:rPr>
          <w:sz w:val="20"/>
          <w:szCs w:val="20"/>
          <w:color w:val="auto"/>
        </w:rPr>
      </w:pPr>
    </w:p>
    <w:p>
      <w:pPr>
        <w:ind w:left="620" w:right="20" w:hanging="307"/>
        <w:spacing w:after="0" w:line="26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WATER. </w:t>
      </w:r>
      <w:r>
        <w:rPr>
          <w:rFonts w:ascii="Times New Roman" w:cs="Times New Roman" w:eastAsia="Times New Roman" w:hAnsi="Times New Roman"/>
          <w:sz w:val="17"/>
          <w:szCs w:val="17"/>
          <w:color w:val="auto"/>
        </w:rPr>
        <w:t>The WATER study was double-blind, randomized, controlled study of Aquablation therapy against TURP in men with prostate sizes between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ml and 80 ml. This study is the only FDA pivotal trial for BPH randomized against TURP. The study was designed with 80% power to show superiority in safety and more than 80% power to show non-inferiority in efficacy. The results of our WATER study served as the basis for FDA grant of our De Novo request and were first published in the Journal of Urology in 2018. The study has concluded with five-year data.</w:t>
      </w:r>
    </w:p>
    <w:p>
      <w:pPr>
        <w:spacing w:after="0" w:line="187" w:lineRule="exact"/>
        <w:rPr>
          <w:rFonts w:ascii="Times New Roman" w:cs="Times New Roman" w:eastAsia="Times New Roman" w:hAnsi="Times New Roman"/>
          <w:sz w:val="17"/>
          <w:szCs w:val="17"/>
          <w:color w:val="auto"/>
        </w:rPr>
      </w:pPr>
    </w:p>
    <w:p>
      <w:pPr>
        <w:ind w:left="620" w:right="160" w:hanging="307"/>
        <w:spacing w:after="0" w:line="267" w:lineRule="auto"/>
        <w:tabs>
          <w:tab w:leader="none" w:pos="616" w:val="left"/>
        </w:tabs>
        <w:numPr>
          <w:ilvl w:val="0"/>
          <w:numId w:val="1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WATER II. </w:t>
      </w:r>
      <w:r>
        <w:rPr>
          <w:rFonts w:ascii="Times New Roman" w:cs="Times New Roman" w:eastAsia="Times New Roman" w:hAnsi="Times New Roman"/>
          <w:sz w:val="17"/>
          <w:szCs w:val="17"/>
          <w:color w:val="auto"/>
        </w:rPr>
        <w:t>The WATER II study was a prospective, multicenter study of Aquablation therapy in patients with prostate sizes between 80 ml and 150 ml.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study was designed with 80% power for safety and 99% power for efficacy against an objective performance criteria, or OPC, based upon TURP data, even though TURP procedures are typically performed in smaller prostates. The results of the WATER II study served as the basis for increased reimbursement and coverage and were first published in BJU International in 2019. The study has concluded with five-year data.</w:t>
      </w:r>
    </w:p>
    <w:p>
      <w:pPr>
        <w:spacing w:after="0" w:line="109" w:lineRule="exact"/>
        <w:rPr>
          <w:rFonts w:ascii="Times New Roman" w:cs="Times New Roman" w:eastAsia="Times New Roman" w:hAnsi="Times New Roman"/>
          <w:sz w:val="17"/>
          <w:szCs w:val="17"/>
          <w:b w:val="1"/>
          <w:bCs w:val="1"/>
          <w:i w:val="1"/>
          <w:iCs w:val="1"/>
          <w:color w:val="auto"/>
        </w:rPr>
      </w:pPr>
    </w:p>
    <w:p>
      <w:pPr>
        <w:ind w:left="620" w:right="20" w:hanging="307"/>
        <w:spacing w:after="0" w:line="26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WATER III. </w:t>
      </w:r>
      <w:r>
        <w:rPr>
          <w:rFonts w:ascii="Times New Roman" w:cs="Times New Roman" w:eastAsia="Times New Roman" w:hAnsi="Times New Roman"/>
          <w:sz w:val="17"/>
          <w:szCs w:val="17"/>
          <w:color w:val="auto"/>
        </w:rPr>
        <w:t>The WATER III study is an international, prospective, multicenter study comparing Aquablation therapy to laser enucleation in prostate sizes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80 ml to 180 ml. The study treated 186 men and reported three-month primary safety and efficacy endpoints. WATER III will also follow patients up to five years. At three months, Aquablation therapy delivered similar symptom relief to laser enucleation, while demonstrating a zero percent transfusion rate and significantly lower rate of ejaculatory dysfunction and incontinence in the study. Notably, the rate of stress incontinence was zero percent among Aquablation patients.</w:t>
      </w:r>
    </w:p>
    <w:p>
      <w:pPr>
        <w:spacing w:after="0" w:line="192" w:lineRule="exact"/>
        <w:rPr>
          <w:rFonts w:ascii="Times New Roman" w:cs="Times New Roman" w:eastAsia="Times New Roman" w:hAnsi="Times New Roman"/>
          <w:sz w:val="17"/>
          <w:szCs w:val="17"/>
          <w:color w:val="auto"/>
        </w:rPr>
      </w:pPr>
    </w:p>
    <w:p>
      <w:pPr>
        <w:ind w:left="620" w:right="120" w:hanging="307"/>
        <w:spacing w:after="0" w:line="26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OPEN WATER. </w:t>
      </w:r>
      <w:r>
        <w:rPr>
          <w:rFonts w:ascii="Times New Roman" w:cs="Times New Roman" w:eastAsia="Times New Roman" w:hAnsi="Times New Roman"/>
          <w:sz w:val="17"/>
          <w:szCs w:val="17"/>
          <w:color w:val="auto"/>
        </w:rPr>
        <w:t>The OPEN WATER study was a prospective, multicenter, all-comer study conducted in a commercial setting spanning patients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prostate sizes between 20 ml and 150 ml. Due to the size of this study, it was sufficiently powered to draw conclusions from the data. There was no OPC established for this study. The results of the OPEN WATER study were first published in Journal of Clinical Medicine in 2020. The study has concluded with one-year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Cancer Therapy</w:t>
      </w:r>
    </w:p>
    <w:p>
      <w:pPr>
        <w:spacing w:after="0" w:line="243" w:lineRule="exact"/>
        <w:rPr>
          <w:sz w:val="20"/>
          <w:szCs w:val="20"/>
          <w:color w:val="auto"/>
        </w:rPr>
      </w:pPr>
    </w:p>
    <w:p>
      <w:pPr>
        <w:ind w:left="620" w:hanging="307"/>
        <w:spacing w:after="0" w:line="273"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PRCT001</w:t>
      </w:r>
      <w:r>
        <w:rPr>
          <w:rFonts w:ascii="Times New Roman" w:cs="Times New Roman" w:eastAsia="Times New Roman" w:hAnsi="Times New Roman"/>
          <w:sz w:val="17"/>
          <w:szCs w:val="17"/>
          <w:color w:val="auto"/>
        </w:rPr>
        <w:t>. The PRCT001 study is a global, prospective, post-market, multi-center study of Aquablation therapy in patients with BPH and localized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prostate cancer. The study is designed to assess safety in this population. The samples size of the study is 125 and is planned to be conducted in the United States, Hong Kong, Lebanon, Canada, and Portugal.</w:t>
      </w:r>
    </w:p>
    <w:p>
      <w:pPr>
        <w:spacing w:after="0" w:line="183" w:lineRule="exact"/>
        <w:rPr>
          <w:rFonts w:ascii="Times New Roman" w:cs="Times New Roman" w:eastAsia="Times New Roman" w:hAnsi="Times New Roman"/>
          <w:sz w:val="17"/>
          <w:szCs w:val="17"/>
          <w:color w:val="auto"/>
        </w:rPr>
      </w:pPr>
    </w:p>
    <w:p>
      <w:pPr>
        <w:ind w:left="620" w:right="200" w:hanging="307"/>
        <w:spacing w:after="0" w:line="294"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PRCT002</w:t>
      </w:r>
      <w:r>
        <w:rPr>
          <w:rFonts w:ascii="Times New Roman" w:cs="Times New Roman" w:eastAsia="Times New Roman" w:hAnsi="Times New Roman"/>
          <w:sz w:val="17"/>
          <w:szCs w:val="17"/>
          <w:color w:val="auto"/>
        </w:rPr>
        <w:t>. The PRCT002 study is an investigational device exemption, or IDE (G230155), prospective, post-market, multi-center study of Aquablation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therapy in patients with localized prostate cancer. The study has completed enrollment across three centers in the United States.</w:t>
      </w:r>
    </w:p>
    <w:p>
      <w:pPr>
        <w:spacing w:after="0" w:line="178" w:lineRule="exact"/>
        <w:rPr>
          <w:rFonts w:ascii="Times New Roman" w:cs="Times New Roman" w:eastAsia="Times New Roman" w:hAnsi="Times New Roman"/>
          <w:sz w:val="17"/>
          <w:szCs w:val="17"/>
          <w:color w:val="auto"/>
        </w:rPr>
      </w:pPr>
    </w:p>
    <w:p>
      <w:pPr>
        <w:ind w:left="620" w:right="60" w:hanging="307"/>
        <w:spacing w:after="0" w:line="258" w:lineRule="auto"/>
        <w:tabs>
          <w:tab w:leader="none" w:pos="609"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7"/>
          <w:szCs w:val="17"/>
          <w:b w:val="1"/>
          <w:bCs w:val="1"/>
          <w:i w:val="1"/>
          <w:iCs w:val="1"/>
          <w:color w:val="auto"/>
        </w:rPr>
        <w:t xml:space="preserve">WATER IV PCa. </w:t>
      </w:r>
      <w:r>
        <w:rPr>
          <w:rFonts w:ascii="Times New Roman" w:cs="Times New Roman" w:eastAsia="Times New Roman" w:hAnsi="Times New Roman"/>
          <w:sz w:val="17"/>
          <w:szCs w:val="17"/>
          <w:color w:val="auto"/>
        </w:rPr>
        <w:t>WATER IV PCa is a global multicenter, prospective, randomized clinical study designed to assess the safety and efficacy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Aquablation therapy compared to radical prostatectomy in men with Grade Group 1 to 3 localized prostate cancer. There is a co-primary endpoint based on morbidity evaluated at the six-month follow-up. A key secondary endpoint is to measure the rate of Grade Group progression in the Aquablation therapy arm, which will be evaluated at the twelve-month follow-up. The study is planned to enroll up to 280 patients at up to 50 centers and follow them for 10 years. The patients will be randomized on a 3:1 basis, with 210 patients receiving Aquablation therapy and 70 patients receiving radical prostatectomy. Longer-term follow-up focuses on both the reduction in treatment related harm and oncologic events.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Activities in the United States</w:t>
      </w:r>
    </w:p>
    <w:p>
      <w:pPr>
        <w:spacing w:after="0" w:line="171" w:lineRule="exact"/>
        <w:rPr>
          <w:sz w:val="20"/>
          <w:szCs w:val="20"/>
          <w:color w:val="auto"/>
        </w:rPr>
      </w:pPr>
    </w:p>
    <w:p>
      <w:pPr>
        <w:ind w:right="440" w:firstLine="309"/>
        <w:spacing w:after="0" w:line="287" w:lineRule="auto"/>
        <w:rPr>
          <w:sz w:val="20"/>
          <w:szCs w:val="20"/>
          <w:color w:val="auto"/>
        </w:rPr>
      </w:pPr>
      <w:r>
        <w:rPr>
          <w:rFonts w:ascii="Times New Roman" w:cs="Times New Roman" w:eastAsia="Times New Roman" w:hAnsi="Times New Roman"/>
          <w:sz w:val="17"/>
          <w:szCs w:val="17"/>
          <w:color w:val="auto"/>
        </w:rPr>
        <w:t>We designed our commercial strategy and built our direct sales team to target primarily urologists across the United States, who we believe represent the primary physician specialty managing the care of patients with BPH. We are first</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focused on driving adoption of Aquablation therapy among urologists who perform hospital-based BPH resective surgery. We target the 2,700 hospitals where we estimate approximately 300,000 resective BPH surgeries of the approximate 400,000 BPH surgeries are performed annually. Within each hospital, we are focused on targeting urologists who perform resective procedures and converting their resective cases to Aquablation therapy. As urologists gain experience with Aquablation therapy, we will leverage their experiences to capture more surgical volumes and establish Aquablation therapy as the surgical standard of care. We also intend to leverage our relationships with urologists to drive utilization of Aquablation therapy beyond the current surgical market.</w:t>
      </w:r>
    </w:p>
    <w:p>
      <w:pPr>
        <w:spacing w:after="0" w:line="123" w:lineRule="exact"/>
        <w:rPr>
          <w:sz w:val="20"/>
          <w:szCs w:val="20"/>
          <w:color w:val="auto"/>
        </w:rPr>
      </w:pPr>
    </w:p>
    <w:p>
      <w:pPr>
        <w:ind w:right="120" w:firstLine="309"/>
        <w:spacing w:after="0" w:line="264" w:lineRule="auto"/>
        <w:rPr>
          <w:sz w:val="20"/>
          <w:szCs w:val="20"/>
          <w:color w:val="auto"/>
        </w:rPr>
      </w:pPr>
      <w:r>
        <w:rPr>
          <w:rFonts w:ascii="Times New Roman" w:cs="Times New Roman" w:eastAsia="Times New Roman" w:hAnsi="Times New Roman"/>
          <w:sz w:val="17"/>
          <w:szCs w:val="17"/>
          <w:color w:val="auto"/>
        </w:rPr>
        <w:t>Our direct sales organization actively engages with providers to drive awareness, adoption and utilization of our Aquablation therapy. This team is supported by clinical specialists who are responsible for training and supporting surgeons, reimbursement specialists, who are responsible for customer and physician education on coding, coverage and payment, and field support employees, who provide preventative maintenance and technical support for our customers. We intend to expand the size of our direct sales organization to support our efforts for adoption and utilization of Aquablation therapy.</w:t>
      </w:r>
    </w:p>
    <w:p>
      <w:pPr>
        <w:spacing w:after="0" w:line="120"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In addition to our direct sales efforts, we support our sales organization with marketing and market development initiatives. We plan to continue to expand and enhance our marketing capabilities to support our growing commercial organization and customer base. Our near-term marketing efforts center principally on increasing awareness and driving adoption of Aquablation therapy among urologists by continuing to publish clinical data in various industry and scientific journals, present our clinical data at various industry conferences, expand our network of KOLs and sponsor peer-to-peer education programs and workshops. We believe these initiatives will further deepen our relationships with urologists and key medical societies, contributing to our goal of Aquablation therapy becoming the surgical standard of care for BPH surgery. Longer-term, as we expand our network of urologists and grow our install base, we intend to increase awareness and brand recognition of Aquablation therapy beyond urologists, primarily among primary care physicians who manage BPH patients. To achieve this objective, we will invest in marketing initiatives directed at primary care physicians in order to expand networks for BPH patients to visit a urologist. Once we have established a broader install base of systems, we may seek to further increase patient awareness through various direct-to-patient marketing initiatives.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Activities Outside of the United States</w:t>
      </w:r>
    </w:p>
    <w:p>
      <w:pPr>
        <w:spacing w:after="0" w:line="171"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Outside the United States, we utilize both a direct sales organization and, in certain regions, a network of distribution partners. In the United Kingdom and Japan specifically, we have increased the size of our direct sales force following recent reimbursement decisions specific to Aquablation therapy in those countries. In markets where our coverage is limited, we collaborate with distribution partners to support market development and sales efforts. We strategically select partners with clinical and marketing expertise to help us enter new markets. Our focus is on partners who can assist with surgeon training and, when necessary, securing regulatory approvals.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Third-Party Reimbursement</w:t>
      </w:r>
    </w:p>
    <w:p>
      <w:pPr>
        <w:spacing w:after="0" w:line="169" w:lineRule="exact"/>
        <w:rPr>
          <w:sz w:val="20"/>
          <w:szCs w:val="20"/>
          <w:color w:val="auto"/>
        </w:rPr>
      </w:pPr>
    </w:p>
    <w:p>
      <w:pPr>
        <w:jc w:val="both"/>
        <w:ind w:right="260" w:firstLine="309"/>
        <w:spacing w:after="0" w:line="264" w:lineRule="auto"/>
        <w:rPr>
          <w:sz w:val="20"/>
          <w:szCs w:val="20"/>
          <w:color w:val="auto"/>
        </w:rPr>
      </w:pPr>
      <w:r>
        <w:rPr>
          <w:rFonts w:ascii="Times New Roman" w:cs="Times New Roman" w:eastAsia="Times New Roman" w:hAnsi="Times New Roman"/>
          <w:sz w:val="17"/>
          <w:szCs w:val="17"/>
          <w:color w:val="auto"/>
        </w:rPr>
        <w:t>In the United States, the primary end users of our products are hospitals. These end users in turn bill various third-party payors, such as commercial payors and government agencies, for reimbursement for the procedures using our products. Our market access team includes professionals who are focused on all key aspects of reimbursement, which include securing appropriate coding, payment and coverage policies for our products and procedures using our products. This team focuses both on payer engagement as well as providing support to the providers.</w:t>
      </w:r>
    </w:p>
    <w:p>
      <w:pPr>
        <w:spacing w:after="0" w:line="120"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Coverage and reimbursement by governmental and third-party payors may depend upon a number of factors, including the determination that the product or service and its use or administration for a particular patient is:</w:t>
      </w:r>
    </w:p>
    <w:p>
      <w:pPr>
        <w:spacing w:after="0" w:line="100"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supported by guidelines established by the relevant professional societies;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165" w:lineRule="exact"/>
        <w:rPr>
          <w:sz w:val="20"/>
          <w:szCs w:val="20"/>
          <w:color w:val="auto"/>
        </w:rPr>
      </w:pPr>
    </w:p>
    <w:p>
      <w:pPr>
        <w:ind w:right="40" w:firstLine="309"/>
        <w:spacing w:after="0" w:line="287" w:lineRule="auto"/>
        <w:rPr>
          <w:sz w:val="20"/>
          <w:szCs w:val="20"/>
          <w:color w:val="auto"/>
        </w:rPr>
      </w:pPr>
      <w:r>
        <w:rPr>
          <w:rFonts w:ascii="Times New Roman" w:cs="Times New Roman" w:eastAsia="Times New Roman" w:hAnsi="Times New Roman"/>
          <w:sz w:val="17"/>
          <w:szCs w:val="17"/>
          <w:color w:val="auto"/>
        </w:rPr>
        <w:t>Third-party payors, whether foreign or domestic, or governmental or commercial, are developing increasingly sophisticated methods of controlling healthcare costs by limiting coverage and the amount of reimbursement for particular</w:t>
      </w: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products. In addition, no uniform policy of coverage and reimbursement for procedures exists among third-party payors. Therefore, coverage and reimbursement for procedures can differ significantly from payor to payor. Obtaining coverage and reimbursement can be a time-consuming process that could require supporting scientific, clinical and cost-effectiveness data.</w:t>
      </w:r>
    </w:p>
    <w:p>
      <w:pPr>
        <w:spacing w:after="0" w:line="114"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Payors continually review new and existing technologies for possible coverage and can, without notice, deny or reverse coverage for new or existing products and procedures. Further, future coverage and reimbursement may be subject to increased restrictions, such as additional prior authorization requirements, both in the United States and in international markets. In addition, Medicare Administrative Contractors could issue a local coverage determination decision that could restrict the patients eligible for a treatment with our products. Third-party coverage and reimbursement may not be available or adequate in either the United States or international markets. Further, other BPH treatments may be more widely covered or subject to different co-pay policies and requirements, which could impact demand for our products.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Coding and Payment</w:t>
      </w:r>
    </w:p>
    <w:p>
      <w:pPr>
        <w:spacing w:after="0" w:line="171"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Third-party payors require physicians and hospitals to identify the service for which they are seeking reimbursement by using Current Procedural Terminology, or CPT, codes, which are created and maintained by the American Medical Association, or AMA. The surgical treatment of BPH using Aquablation therapy is described by CPT code 0421T, which is the code describing transurethral waterjet ablation of the prostate, a Category III code published by the AMA in January 2017. In May 2024, the AMA established a new CPT Category I code for Aquablation therapy to treat BPH. Effective January 1, 2026, Aquablation therapy was assigned Category I CPT code 52597, replacing Category III code 0421T. The payment to the physician using CPT code 52597 is currently similar to that for a TURP procedure.</w:t>
      </w:r>
    </w:p>
    <w:p>
      <w:pPr>
        <w:spacing w:after="0" w:line="122"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In addition to payment to the physician for professional services, Medicare provides reimbursement to our hospital customers for procedures under the hospital outpatient prospective payment system, or HOPPS, and inpatient prospective payment system, or IPPS. The HOPPS and IPPS provide bundled amounts generally intended to reimburse the hospital for all facility costs related to procedures performed in the hospital outpatient setting and inpatient setting, respectively. Medicare also provides reimbursement for procedures performed in ambulatory surgery centers. Reimbursement rates from commercial payors vary depending on the commercial payor, contract terms, and other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Payor and Government Program Coverage</w:t>
      </w:r>
    </w:p>
    <w:p>
      <w:pPr>
        <w:spacing w:after="0" w:line="171" w:lineRule="exact"/>
        <w:rPr>
          <w:sz w:val="20"/>
          <w:szCs w:val="20"/>
          <w:color w:val="auto"/>
        </w:rPr>
      </w:pPr>
    </w:p>
    <w:p>
      <w:pPr>
        <w:ind w:right="180" w:firstLine="309"/>
        <w:spacing w:after="0" w:line="264" w:lineRule="auto"/>
        <w:rPr>
          <w:sz w:val="20"/>
          <w:szCs w:val="20"/>
          <w:color w:val="auto"/>
        </w:rPr>
      </w:pPr>
      <w:r>
        <w:rPr>
          <w:rFonts w:ascii="Times New Roman" w:cs="Times New Roman" w:eastAsia="Times New Roman" w:hAnsi="Times New Roman"/>
          <w:sz w:val="17"/>
          <w:szCs w:val="17"/>
          <w:color w:val="auto"/>
        </w:rPr>
        <w:t>A core pillar of our reimbursement strategy involves broadening our third-party payor coverage. We continue to have active discussions with commercial payors to establish positive national coverage policies. We believe that our strong body of clinical evidence and support from key societies, supplemented by the momentum from Medicare coverage, have led to favorable coverage decisions from many large commercial payors – which we estimate allows access to Aquablation therapy to approximately 95% of all men in the United States.</w:t>
      </w:r>
    </w:p>
    <w:p>
      <w:pPr>
        <w:spacing w:after="0" w:line="120" w:lineRule="exact"/>
        <w:rPr>
          <w:sz w:val="20"/>
          <w:szCs w:val="20"/>
          <w:color w:val="auto"/>
        </w:rPr>
      </w:pPr>
    </w:p>
    <w:p>
      <w:pPr>
        <w:ind w:right="500" w:firstLine="309"/>
        <w:spacing w:after="0" w:line="287" w:lineRule="auto"/>
        <w:rPr>
          <w:sz w:val="20"/>
          <w:szCs w:val="20"/>
          <w:color w:val="auto"/>
        </w:rPr>
      </w:pPr>
      <w:r>
        <w:rPr>
          <w:rFonts w:ascii="Times New Roman" w:cs="Times New Roman" w:eastAsia="Times New Roman" w:hAnsi="Times New Roman"/>
          <w:sz w:val="17"/>
          <w:szCs w:val="17"/>
          <w:color w:val="auto"/>
        </w:rPr>
        <w:t>As of December 27, 2020, all MACs cover procedures involving Aquablation therapy for Medicare patients (including Medicare Advantage plans). We believe Medicare accounts for approximately 50% of all hospital-based resective BPH procedures performed in the United States.</w:t>
      </w:r>
    </w:p>
    <w:p>
      <w:pPr>
        <w:spacing w:after="0" w:line="100" w:lineRule="exact"/>
        <w:rPr>
          <w:sz w:val="20"/>
          <w:szCs w:val="20"/>
          <w:color w:val="auto"/>
        </w:rPr>
      </w:pPr>
    </w:p>
    <w:p>
      <w:pPr>
        <w:ind w:right="240" w:firstLine="309"/>
        <w:spacing w:after="0" w:line="287" w:lineRule="auto"/>
        <w:rPr>
          <w:sz w:val="20"/>
          <w:szCs w:val="20"/>
          <w:color w:val="auto"/>
        </w:rPr>
      </w:pPr>
      <w:r>
        <w:rPr>
          <w:rFonts w:ascii="Times New Roman" w:cs="Times New Roman" w:eastAsia="Times New Roman" w:hAnsi="Times New Roman"/>
          <w:sz w:val="17"/>
          <w:szCs w:val="17"/>
          <w:color w:val="auto"/>
        </w:rPr>
        <w:t>For certain customers, our reimbursement strategy includes leveraging our market access team as advisors when needed to support in obtaining appropriate prior authorization approvals in advance of treatment. We believe we are highly effective in providing education to obtain prior authorizations when needed.</w:t>
      </w:r>
    </w:p>
    <w:p>
      <w:pPr>
        <w:spacing w:after="0" w:line="10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Outside of the United States, reimbursement levels vary significantly by country, and within some countries by region, as well as by payor type. Reimbursement is obtained from a variety of sources, including government sponsors, hospital budgets or private health insurance plans, or combinations thereof. Obtaining reimbursement is a key part of our market development strategy outside of the United States.</w:t>
      </w:r>
    </w:p>
    <w:p>
      <w:pPr>
        <w:spacing w:after="0" w:line="114" w:lineRule="exact"/>
        <w:rPr>
          <w:sz w:val="20"/>
          <w:szCs w:val="20"/>
          <w:color w:val="auto"/>
        </w:rPr>
      </w:pPr>
    </w:p>
    <w:p>
      <w:pPr>
        <w:ind w:right="320" w:firstLine="309"/>
        <w:spacing w:after="0" w:line="269" w:lineRule="auto"/>
        <w:rPr>
          <w:sz w:val="20"/>
          <w:szCs w:val="20"/>
          <w:color w:val="auto"/>
        </w:rPr>
      </w:pPr>
      <w:r>
        <w:rPr>
          <w:rFonts w:ascii="Times New Roman" w:cs="Times New Roman" w:eastAsia="Times New Roman" w:hAnsi="Times New Roman"/>
          <w:sz w:val="17"/>
          <w:szCs w:val="17"/>
          <w:color w:val="auto"/>
        </w:rPr>
        <w:t>In the EU, pricing and reimbursement schemes vary widely from country to country. Some countries may require the completion of additional studies that compare the cost-effectiveness of a particular product candidate to currently available therapies (so called health technology assessments) in order to obtain reimbursement. The Health Technology Assessment, or HTA, which is currently governed by the national laws of the individual EU Member States, is the</w:t>
      </w:r>
    </w:p>
    <w:p>
      <w:pPr>
        <w:spacing w:after="0" w:line="261" w:lineRule="auto"/>
        <w:rPr>
          <w:sz w:val="20"/>
          <w:szCs w:val="20"/>
          <w:color w:val="auto"/>
        </w:rPr>
      </w:pPr>
      <w:r>
        <w:rPr>
          <w:rFonts w:ascii="Times New Roman" w:cs="Times New Roman" w:eastAsia="Times New Roman" w:hAnsi="Times New Roman"/>
          <w:sz w:val="17"/>
          <w:szCs w:val="17"/>
          <w:color w:val="auto"/>
        </w:rPr>
        <w:t>procedure according to which the assessment of the public health impact, therapeutic, impact and the economic and societal impact related to the use of a health technology. The outcome of the HTA will often influence the pricing and reimbursement status granted to the product under review by the competent authorities of individual EU Member States. On December 13, 2021, the EU Regulation No 2021/2282 on HTA, amending Directive 2011/24/EU, or HTA Regulation, was adopted. The HTA Regulation aims to boost cooperation among EU Member States in assessing health technologies and providing the basis for cooperation at EU level for joint clinical assessments in these areas. The HTA Regulation entered into force on January</w:t>
      </w: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11, 2022 and started to apply from January 12, 2025. Under the HTA Regulation, EU Member States are required to use common HTA tools, methodologies, and procedures across the EU. Among others, the HTA Regulation establishes an HTA coordination group, composed of national HTA bodies, which jointly conduct Joint Clinical Assessments, or JCA, of new medicines and certain high-risk medical devices and introduces a single EU-level submission file for JCAs. However, the HTA Regulation focuses on the clinical aspects of HTA, i.e. the relative clinical effectiveness and relative clinical safety of a new health technology as compared with existing technologies, and, as such, individual EU Member States remain responsible for determining the overall value of a new health technology within their healthcare systems, as well as making pricing and reimbursement decisions.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69" w:lineRule="exact"/>
        <w:rPr>
          <w:sz w:val="20"/>
          <w:szCs w:val="20"/>
          <w:color w:val="auto"/>
        </w:rPr>
      </w:pPr>
    </w:p>
    <w:p>
      <w:pPr>
        <w:ind w:right="100" w:firstLine="309"/>
        <w:spacing w:after="0" w:line="270" w:lineRule="auto"/>
        <w:rPr>
          <w:sz w:val="20"/>
          <w:szCs w:val="20"/>
          <w:color w:val="auto"/>
        </w:rPr>
      </w:pPr>
      <w:r>
        <w:rPr>
          <w:rFonts w:ascii="Times New Roman" w:cs="Times New Roman" w:eastAsia="Times New Roman" w:hAnsi="Times New Roman"/>
          <w:sz w:val="17"/>
          <w:szCs w:val="17"/>
          <w:color w:val="auto"/>
        </w:rPr>
        <w:t>We have established a dedicated research and development team with strong capabilities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w:t>
      </w:r>
    </w:p>
    <w:p>
      <w:pPr>
        <w:spacing w:after="0" w:line="114" w:lineRule="exact"/>
        <w:rPr>
          <w:sz w:val="20"/>
          <w:szCs w:val="20"/>
          <w:color w:val="auto"/>
        </w:rPr>
      </w:pPr>
    </w:p>
    <w:p>
      <w:pPr>
        <w:jc w:val="both"/>
        <w:ind w:right="100" w:firstLine="309"/>
        <w:spacing w:after="0" w:line="264" w:lineRule="auto"/>
        <w:rPr>
          <w:sz w:val="20"/>
          <w:szCs w:val="20"/>
          <w:color w:val="auto"/>
        </w:rPr>
      </w:pPr>
      <w:r>
        <w:rPr>
          <w:rFonts w:ascii="Times New Roman" w:cs="Times New Roman" w:eastAsia="Times New Roman" w:hAnsi="Times New Roman"/>
          <w:sz w:val="17"/>
          <w:szCs w:val="17"/>
          <w:color w:val="auto"/>
        </w:rPr>
        <w:t>To improve customer experience, we are continually innovating our technologies to support and improve Aquablation therapy to further satisfy the evolving needs of surgeons and their patients as well as to further enhance the usability and scalability of our robotic systems. We also plan to leverage our treatment data and software development capabilities to enable artificial intelligence assisted anatomy recognition and improved treatment planning and personalization. We are also evaluating the application of our robotic systems in prostate cancer.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Supply</w:t>
      </w:r>
    </w:p>
    <w:p>
      <w:pPr>
        <w:spacing w:after="0" w:line="169" w:lineRule="exact"/>
        <w:rPr>
          <w:sz w:val="20"/>
          <w:szCs w:val="20"/>
          <w:color w:val="auto"/>
        </w:rPr>
      </w:pPr>
    </w:p>
    <w:p>
      <w:pPr>
        <w:ind w:firstLine="387"/>
        <w:spacing w:after="0" w:line="257" w:lineRule="auto"/>
        <w:rPr>
          <w:sz w:val="20"/>
          <w:szCs w:val="20"/>
          <w:color w:val="auto"/>
        </w:rPr>
      </w:pPr>
      <w:r>
        <w:rPr>
          <w:rFonts w:ascii="Times New Roman" w:cs="Times New Roman" w:eastAsia="Times New Roman" w:hAnsi="Times New Roman"/>
          <w:sz w:val="17"/>
          <w:szCs w:val="17"/>
          <w:color w:val="auto"/>
        </w:rPr>
        <w:t>We directly manufacture our robotic systems, the handpiece and other accessories at our facility in San Jose, California. This includes supporting the supply chain distribution and logistics of the various components. Components, sub-assemblies and services required to manufacture our products are purchased from numerous global suppliers. Each AquaBeam Robotic System or HYDROS Robotic System is shipped to our customers with a third-party manufactured ultrasound system and probes. We utilize a well-known third-party logistics provider located in United States, United Kingdom, and the Netherlands to ship our products to our customers globally. We rely on third-party suppliers, almost all of whom are single source suppliers, to provide us with certain components, sub-assemblies and materials for our products. Our suppliers manufacture the components they produce for us and test our components and devices to our specifications. We have entered into manufacturing and supply agreements with several of our single-source suppliers pursuant to which they supply the components we need. In addition, we intend to maintain sufficient levels of inventory to enable us to continue our operations while we obtain another supplier in the event that one or more of our single-source suppliers were to encounter a delay in supply or end supply.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69" w:lineRule="exact"/>
        <w:rPr>
          <w:sz w:val="20"/>
          <w:szCs w:val="20"/>
          <w:color w:val="auto"/>
        </w:rPr>
      </w:pPr>
    </w:p>
    <w:p>
      <w:pPr>
        <w:ind w:right="40" w:firstLine="309"/>
        <w:spacing w:after="0" w:line="270" w:lineRule="auto"/>
        <w:rPr>
          <w:sz w:val="20"/>
          <w:szCs w:val="20"/>
          <w:color w:val="auto"/>
        </w:rPr>
      </w:pPr>
      <w:r>
        <w:rPr>
          <w:rFonts w:ascii="Times New Roman" w:cs="Times New Roman" w:eastAsia="Times New Roman" w:hAnsi="Times New Roman"/>
          <w:sz w:val="17"/>
          <w:szCs w:val="17"/>
          <w:color w:val="auto"/>
        </w:rPr>
        <w:t>The industry in which we operate is subject to rapid change from the introduction of new products and technologies and other activities of industry participants. While we believe Aquablation therapy delivered through our robotic systems provides us with a competitive advantage against other competing BPH treatment modalities, our currently marketed products are, and any future products we commercialize will be, subject to intense competition.</w:t>
      </w:r>
    </w:p>
    <w:p>
      <w:pPr>
        <w:spacing w:after="0" w:line="114"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Certain of our current and potential competitors may have significantly greater financial, technical, marketing and other resources than we do and may be able to devote greater resources to the development, regulatory approval, promotion, sale and support of their products. Our competitors may also have more extensive customer bases and broader customer relationships than we do, including relationships with our potential customers. In addition, many of these companies have longer operating histories and greater brand recognition than we do. Additionally, many of these companies have overcome reimbursement barriers and their procedures are covered by nearly all major insurance carriers. Because of the size of the BPH market, we anticipate that companies will dedicate significant resources to developing competing products.</w:t>
      </w:r>
    </w:p>
    <w:p>
      <w:pPr>
        <w:spacing w:after="0" w:line="122" w:lineRule="exact"/>
        <w:rPr>
          <w:sz w:val="20"/>
          <w:szCs w:val="20"/>
          <w:color w:val="auto"/>
        </w:rPr>
      </w:pPr>
    </w:p>
    <w:p>
      <w:pPr>
        <w:ind w:right="80" w:firstLine="309"/>
        <w:spacing w:after="0" w:line="264" w:lineRule="auto"/>
        <w:rPr>
          <w:sz w:val="20"/>
          <w:szCs w:val="20"/>
          <w:color w:val="auto"/>
        </w:rPr>
      </w:pPr>
      <w:r>
        <w:rPr>
          <w:rFonts w:ascii="Times New Roman" w:cs="Times New Roman" w:eastAsia="Times New Roman" w:hAnsi="Times New Roman"/>
          <w:sz w:val="17"/>
          <w:szCs w:val="17"/>
          <w:color w:val="auto"/>
        </w:rPr>
        <w:t>We consider our primary competition to be resective surgical treatments. These include among others, those manufacturers producing devices for the TURP procedure and laser-based therapies marketed by Boston Scientific Corporation. We also believe we will compete with non-resective and non-surgical treatments. The non-resective treatments include, among others, UroLift marketed by Teleflex Incorporated and Rezum marketed by Boston Scientific Corporation. Non-surgical treatments for BPH are primarily pharmaceuticals.</w:t>
      </w:r>
    </w:p>
    <w:p>
      <w:pPr>
        <w:spacing w:after="0" w:line="200" w:lineRule="exact"/>
        <w:rPr>
          <w:sz w:val="20"/>
          <w:szCs w:val="20"/>
          <w:color w:val="auto"/>
        </w:rPr>
      </w:pPr>
    </w:p>
    <w:p>
      <w:pPr>
        <w:spacing w:after="0" w:line="3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that the primary basis on which we compete include:</w:t>
      </w:r>
    </w:p>
    <w:p>
      <w:pPr>
        <w:spacing w:after="0" w:line="165"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outcomes for patients;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 efficacy, reliability and durability;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and volume of clinical data;</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marketing to and education of patients, physicians and hospitals;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product and brand recognition;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force experience and access;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support and service;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innovation, product enhancements and speed of innovation;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and revenue strategies;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of reimbursement teams and strategies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status and speed to market;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dedicated clinical representatives.</w:t>
      </w:r>
    </w:p>
    <w:p>
      <w:pPr>
        <w:spacing w:after="0" w:line="165" w:lineRule="exact"/>
        <w:rPr>
          <w:sz w:val="20"/>
          <w:szCs w:val="20"/>
          <w:color w:val="auto"/>
        </w:rPr>
      </w:pPr>
    </w:p>
    <w:p>
      <w:pPr>
        <w:ind w:right="1840" w:firstLine="309"/>
        <w:spacing w:after="0" w:line="443" w:lineRule="auto"/>
        <w:rPr>
          <w:sz w:val="20"/>
          <w:szCs w:val="20"/>
          <w:color w:val="auto"/>
        </w:rPr>
      </w:pPr>
      <w:r>
        <w:rPr>
          <w:rFonts w:ascii="Times New Roman" w:cs="Times New Roman" w:eastAsia="Times New Roman" w:hAnsi="Times New Roman"/>
          <w:sz w:val="17"/>
          <w:szCs w:val="17"/>
          <w:color w:val="auto"/>
        </w:rPr>
        <w:t xml:space="preserve">We cannot assure you that we will be able to compete effectively against our competitors in regard to any one or all of these factors. </w:t>
      </w:r>
      <w:r>
        <w:rPr>
          <w:rFonts w:ascii="Times New Roman" w:cs="Times New Roman" w:eastAsia="Times New Roman" w:hAnsi="Times New Roman"/>
          <w:sz w:val="17"/>
          <w:szCs w:val="17"/>
          <w:b w:val="1"/>
          <w:bCs w:val="1"/>
          <w:color w:val="auto"/>
        </w:rPr>
        <w:t>Intellectual Property</w:t>
      </w:r>
    </w:p>
    <w:p>
      <w:pPr>
        <w:ind w:right="120" w:firstLine="309"/>
        <w:spacing w:after="0" w:line="264" w:lineRule="auto"/>
        <w:rPr>
          <w:sz w:val="20"/>
          <w:szCs w:val="20"/>
          <w:color w:val="auto"/>
        </w:rPr>
      </w:pPr>
      <w:r>
        <w:rPr>
          <w:rFonts w:ascii="Times New Roman" w:cs="Times New Roman" w:eastAsia="Times New Roman" w:hAnsi="Times New Roman"/>
          <w:sz w:val="17"/>
          <w:szCs w:val="17"/>
          <w:color w:val="auto"/>
        </w:rPr>
        <w:t>Our success depends in part on our ability to obtain, maintain, protect and enforce our proprietary technology and intellectual property rights, in particular, defend our patent rights, preserve the confidentiality of our trade secrets, and operate without infringing the valid and enforceable patents and other proprietary rights of third parties. We rely on a combination of patent, copyright, trademark and trade secret laws and confidentiality and invention assignment agreements to protect our intellectual property rights.</w:t>
      </w:r>
    </w:p>
    <w:p>
      <w:pPr>
        <w:spacing w:after="0" w:line="120" w:lineRule="exact"/>
        <w:rPr>
          <w:sz w:val="20"/>
          <w:szCs w:val="20"/>
          <w:color w:val="auto"/>
        </w:rPr>
      </w:pPr>
    </w:p>
    <w:p>
      <w:pPr>
        <w:ind w:right="20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2025, we had rights to 73 issued U.S. patents, expiring between 2028 and 2042, 157 issued foreign patents, expiring between 2028 and 2041, 40 pending U.S. patent applications, three pending PCT applications, and 66 pending foreign patent applications.</w:t>
      </w:r>
    </w:p>
    <w:p>
      <w:pPr>
        <w:spacing w:after="0" w:line="100"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As of December 31, 2025, our rights to foreign issued patents included 22 granted Chinese patents, 35 granted Japanese patents, eight granted Brazilian patents, six granted Indian patents, and 19 granted European patents, of which 13 have been validated in Germany, 10 in Spain, 11 in France, 19 in the United Kingdom, seven in Ireland, 10 in Italy, one in Switzerland, and three European patents with unitary effect. As of December 31, 2025, our rights to foreign patent applications include 20 pending European applications, 22 pending Chinese applications, 15 pending Japanese applications, one pending Brazilian application, one pending Indian application and three pending Hong Kong applications.</w:t>
      </w:r>
    </w:p>
    <w:p>
      <w:pPr>
        <w:spacing w:after="0" w:line="123" w:lineRule="exact"/>
        <w:rPr>
          <w:sz w:val="20"/>
          <w:szCs w:val="20"/>
          <w:color w:val="auto"/>
        </w:rPr>
      </w:pPr>
    </w:p>
    <w:p>
      <w:pPr>
        <w:ind w:right="46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2025, we had 77 pending and registered trademark filings worldwide, some of which may provide trademark protection in multiple countries.</w:t>
      </w:r>
    </w:p>
    <w:p>
      <w:pPr>
        <w:spacing w:after="0" w:line="100" w:lineRule="exact"/>
        <w:rPr>
          <w:sz w:val="20"/>
          <w:szCs w:val="20"/>
          <w:color w:val="auto"/>
        </w:rPr>
      </w:pPr>
    </w:p>
    <w:p>
      <w:pPr>
        <w:ind w:right="400" w:firstLine="309"/>
        <w:spacing w:after="0" w:line="270" w:lineRule="auto"/>
        <w:rPr>
          <w:sz w:val="20"/>
          <w:szCs w:val="20"/>
          <w:color w:val="auto"/>
        </w:rPr>
      </w:pPr>
      <w:r>
        <w:rPr>
          <w:rFonts w:ascii="Times New Roman" w:cs="Times New Roman" w:eastAsia="Times New Roman" w:hAnsi="Times New Roman"/>
          <w:sz w:val="17"/>
          <w:szCs w:val="17"/>
          <w:color w:val="auto"/>
        </w:rPr>
        <w:t>We also rely, in part, upon unpatented trade secrets, know-how and continuing technological innovation, and may in the future rely upon licensing opportunities,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spacing w:after="0" w:line="114" w:lineRule="exact"/>
        <w:rPr>
          <w:sz w:val="20"/>
          <w:szCs w:val="20"/>
          <w:color w:val="auto"/>
        </w:rPr>
      </w:pPr>
    </w:p>
    <w:p>
      <w:pPr>
        <w:ind w:right="140" w:firstLine="309"/>
        <w:spacing w:after="0" w:line="261" w:lineRule="auto"/>
        <w:rPr>
          <w:sz w:val="20"/>
          <w:szCs w:val="20"/>
          <w:color w:val="auto"/>
        </w:rPr>
      </w:pPr>
      <w:r>
        <w:rPr>
          <w:rFonts w:ascii="Times New Roman" w:cs="Times New Roman" w:eastAsia="Times New Roman" w:hAnsi="Times New Roman"/>
          <w:sz w:val="17"/>
          <w:szCs w:val="17"/>
          <w:color w:val="auto"/>
        </w:rPr>
        <w:t>Our pending patent applications may not result in issued patents, and we cannot assure you that any current or subsequently issued patents will protect our intellectual property rights or provide us with any competitive advantage. While there is no active material litigation involving any of our patents or other intellectual property rights and we have not received any notices of patent infringement, we may be required to enforce or defend our intellectual property rights against third parties in the future. See the section titled “Risk Factors—Risks Related to Our Intellectual Property” for additional information regarding these and other risks related to our intellectual property portfolio and their potential effect on us.</w:t>
      </w: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 with AquaBeam LLC</w:t>
      </w:r>
    </w:p>
    <w:p>
      <w:pPr>
        <w:spacing w:after="0" w:line="17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In 2008, we assigned to AquaBeam LLC, or AquaBeam, certain provisional patent applications, or AquaBeam Patent Applications, which have since issued as patents, and any future patent applications that claim priority to the AquaBeam Patent Applications, or AquaBeam Patents.</w:t>
      </w:r>
    </w:p>
    <w:p>
      <w:pPr>
        <w:spacing w:after="0" w:line="100"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In September 2019, we entered into an amended and restated license agreement, or the AquaBeam License Agreement, with AquaBeam. Pursuant to the AquaBeam License Agreement, AquaBeam granted us a worldwide, exclusive (even as to AquaBeam), sublicensable, royalty-free license under the AquaBeam Patents and to all other patent rights owned by AquaBeam, that claim certain technology related to delivering energy to tissues by directing a liquid fluid stream, or together with AquaBeam Patents, Licensed Patents, in the field of urology, or Field. Pursuant to the AquaBeam License Agreement, and subject to the terms therein, we granted AquaBeam a worldwide, exclusive (even as to us), sublicensable, royalty-free license under certain of our patents rights until October 2021, that claim certain technology related to delivering energy to tissues by directing a liquid fluid stream, or PROCEPT Patents, outside the Field. No payments (except for patent prosecution and maintenance costs) have been made or are otherwise required under the AquaBeam License Agreement.</w:t>
      </w:r>
    </w:p>
    <w:p>
      <w:pPr>
        <w:spacing w:after="0" w:line="128" w:lineRule="exact"/>
        <w:rPr>
          <w:sz w:val="20"/>
          <w:szCs w:val="20"/>
          <w:color w:val="auto"/>
        </w:rPr>
      </w:pPr>
    </w:p>
    <w:p>
      <w:pPr>
        <w:ind w:right="180" w:firstLine="309"/>
        <w:spacing w:after="0" w:line="264" w:lineRule="auto"/>
        <w:rPr>
          <w:sz w:val="20"/>
          <w:szCs w:val="20"/>
          <w:color w:val="auto"/>
        </w:rPr>
      </w:pPr>
      <w:r>
        <w:rPr>
          <w:rFonts w:ascii="Times New Roman" w:cs="Times New Roman" w:eastAsia="Times New Roman" w:hAnsi="Times New Roman"/>
          <w:sz w:val="17"/>
          <w:szCs w:val="17"/>
          <w:color w:val="auto"/>
        </w:rPr>
        <w:t>The AquaBeam License Agreement will remain in full force and effect on a country-by-country basis until the last to expire of the Licensed Patents and the PROCEPT Patents in such country. The expiration date of the last-to-expire of the Licensed Patents and PROCEPT Patents will not be earlier than 2037. The AquaBeam License Agreement may be terminated by either party in the event of uncured material breach by the other party that remains uncured for 90 days (or 30 days for payment related breaches), or bankruptcy of the other party.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 with HydroCision</w:t>
      </w:r>
    </w:p>
    <w:p>
      <w:pPr>
        <w:spacing w:after="0" w:line="171" w:lineRule="exact"/>
        <w:rPr>
          <w:sz w:val="20"/>
          <w:szCs w:val="20"/>
          <w:color w:val="auto"/>
        </w:rPr>
      </w:pPr>
    </w:p>
    <w:p>
      <w:pPr>
        <w:ind w:right="400" w:firstLine="309"/>
        <w:spacing w:after="0" w:line="261" w:lineRule="auto"/>
        <w:rPr>
          <w:sz w:val="20"/>
          <w:szCs w:val="20"/>
          <w:color w:val="auto"/>
        </w:rPr>
      </w:pPr>
      <w:r>
        <w:rPr>
          <w:rFonts w:ascii="Times New Roman" w:cs="Times New Roman" w:eastAsia="Times New Roman" w:hAnsi="Times New Roman"/>
          <w:sz w:val="17"/>
          <w:szCs w:val="17"/>
          <w:color w:val="auto"/>
        </w:rPr>
        <w:t>We are party to a Confidential Exclusive Patent License and Covenant Not To Sue, or the HydroCision License Agreement, with HydroCision, Inc., or HydroCision. Pursuant to the HydroCision License Agreement, HydroCision granted us a worldwide, exclusive, sublicensable, royalty-free license to certain patents related to fluid jet technology in the field of urology, or the Fluid Jet Technology Patents and related know-how and documentation. HydroCision also granted us a non-exclusive license to patents allowing us to make, sell, import, export, or otherwise dispose of products made using the Fluid Jet Technology Patents.</w:t>
      </w:r>
    </w:p>
    <w:p>
      <w:pPr>
        <w:spacing w:after="0" w:line="200" w:lineRule="exact"/>
        <w:rPr>
          <w:sz w:val="20"/>
          <w:szCs w:val="20"/>
          <w:color w:val="auto"/>
        </w:rPr>
      </w:pPr>
    </w:p>
    <w:p>
      <w:pPr>
        <w:ind w:right="340" w:firstLine="309"/>
        <w:spacing w:after="0" w:line="270" w:lineRule="auto"/>
        <w:rPr>
          <w:sz w:val="20"/>
          <w:szCs w:val="20"/>
          <w:color w:val="auto"/>
        </w:rPr>
      </w:pPr>
      <w:r>
        <w:rPr>
          <w:rFonts w:ascii="Times New Roman" w:cs="Times New Roman" w:eastAsia="Times New Roman" w:hAnsi="Times New Roman"/>
          <w:sz w:val="17"/>
          <w:szCs w:val="17"/>
          <w:color w:val="auto"/>
        </w:rPr>
        <w:t>In exchange for the license from HydroCision, we paid HydroCision $2.5 million in 2019. No further payments have been made or are otherwise required under the HydroCision License Agreement. HydroCision is responsible for all patent prosecution and maintenance costs related to the Fluid Jet Technology Patents.</w:t>
      </w:r>
    </w:p>
    <w:p>
      <w:pPr>
        <w:spacing w:after="0" w:line="191"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The HydoCision License Agreement will remain in full force and effect until the last to expire of the Fluid Jet Technology Patents. The expiration date of the last-to-expire of the Fluid Jet Technology Patents will not be earlier than 2039.</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69" w:lineRule="exact"/>
        <w:rPr>
          <w:sz w:val="20"/>
          <w:szCs w:val="20"/>
          <w:color w:val="auto"/>
        </w:rPr>
      </w:pPr>
    </w:p>
    <w:p>
      <w:pPr>
        <w:ind w:right="100" w:firstLine="309"/>
        <w:spacing w:after="0" w:line="260" w:lineRule="auto"/>
        <w:rPr>
          <w:sz w:val="20"/>
          <w:szCs w:val="20"/>
          <w:color w:val="auto"/>
        </w:rPr>
      </w:pPr>
      <w:r>
        <w:rPr>
          <w:rFonts w:ascii="Times New Roman" w:cs="Times New Roman" w:eastAsia="Times New Roman" w:hAnsi="Times New Roman"/>
          <w:sz w:val="17"/>
          <w:szCs w:val="17"/>
          <w:color w:val="auto"/>
        </w:rPr>
        <w:t>Our products and our operations are subject to extensive regulation by the FDA and other federal and state authorities in the United States, as well as comparable authorities outside the United States. Our products are subject to regulation as medical devices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22" w:lineRule="exact"/>
        <w:rPr>
          <w:sz w:val="20"/>
          <w:szCs w:val="20"/>
          <w:color w:val="auto"/>
        </w:rPr>
      </w:pPr>
    </w:p>
    <w:p>
      <w:pPr>
        <w:ind w:right="140" w:firstLine="309"/>
        <w:spacing w:after="0" w:line="261" w:lineRule="auto"/>
        <w:rPr>
          <w:sz w:val="20"/>
          <w:szCs w:val="20"/>
          <w:color w:val="auto"/>
        </w:rPr>
      </w:pPr>
      <w:r>
        <w:rPr>
          <w:rFonts w:ascii="Times New Roman" w:cs="Times New Roman" w:eastAsia="Times New Roman" w:hAnsi="Times New Roman"/>
          <w:sz w:val="17"/>
          <w:szCs w:val="17"/>
          <w:color w:val="auto"/>
        </w:rPr>
        <w:t>In addition to United States regulations, we are subject to a variety of regulations outside the United States governing clinical trials and the commercial sales and distribution of our products. Whether or not we have or are required to obtain FDA clearance or approval for a product, we will be required to obtain authorization before commencing clinical trials and to obtain marketing authorization or approval of our products under the comparable regulatory authorities of countries outside of the United States before we can commence clinical trials or commercialize our products in those countries. The approval process varies from country to country and the time may be longer or shorter than that required for FDA clearance or approval.</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FDA Regulations</w:t>
      </w:r>
    </w:p>
    <w:p>
      <w:pPr>
        <w:spacing w:after="0" w:line="171"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Under the FDCA, medical devices are classified into one of three classes—Class I, Class II or Class III—depending on the degree of risk associated with each medical device and the extent of manufacturer and regulatory control needed to ensure its safety and effectiveness. Our currently marketed robotic systems are Class II devices, which were initially granted marketing authorization pursuant to a de novo classification. We have subsequently received FDA clearance of a 510(k) premarket notification for modifications to our robotic systems where we used the initially authorized device as the predicate device for our more recent 510(k) clearance.</w:t>
      </w:r>
    </w:p>
    <w:p>
      <w:pPr>
        <w:spacing w:after="0" w:line="200"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To obtain 510(k) clearance, we must submit to the FDA a premarket notification demonstrating that the device is “substantially equivalent” to a legally marketed predicate device.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HYDROS Robotic System is a class II device that was cleared under the 510(k) premarket notification process.</w:t>
      </w:r>
    </w:p>
    <w:p>
      <w:pPr>
        <w:spacing w:after="0" w:line="165"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The FDA may require further information, including clinical data, to make a determination regarding substantial equivalence, which may significantly prolong the review process. If the FDA determines that the device is substantially equivalent to a predicate device, it will grant 510(k) clearance to commercially market the device. If the FDA determines that the device is “not substantially equivalent” to a previously cleared device, the device is automatically designated as a Class</w:t>
      </w:r>
    </w:p>
    <w:p>
      <w:pPr>
        <w:ind w:right="100" w:firstLine="3"/>
        <w:spacing w:after="0" w:line="259" w:lineRule="auto"/>
        <w:tabs>
          <w:tab w:leader="none" w:pos="2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device. The device sponsor must then fulfill more rigorous requirements of the PMA approval process,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24"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or de novo classification. The FDA requires each manufacturer to determine whether the proposed change requires submission of a 510(k), de novo classification or a PMA or PMA supplement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approval of a PMA, or issuance of a de novo classification. Also, in these circumstances, the manufacturer may be subject to significant regulatory fines or penalties.</w:t>
      </w:r>
    </w:p>
    <w:p>
      <w:pPr>
        <w:spacing w:after="0" w:line="122"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7"/>
          <w:szCs w:val="17"/>
          <w:color w:val="auto"/>
        </w:rPr>
        <w:t>Clinical trials are almost always required to support a PMA or de novo request and are sometimes required to support a 510(k) submission. All clinical investigations of investigational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w:t>
      </w:r>
    </w:p>
    <w:p>
      <w:pPr>
        <w:spacing w:after="0" w:line="120" w:lineRule="exact"/>
        <w:rPr>
          <w:sz w:val="20"/>
          <w:szCs w:val="20"/>
          <w:color w:val="auto"/>
        </w:rPr>
      </w:pPr>
    </w:p>
    <w:p>
      <w:pPr>
        <w:ind w:right="140" w:firstLine="309"/>
        <w:spacing w:after="0" w:line="287" w:lineRule="auto"/>
        <w:rPr>
          <w:sz w:val="20"/>
          <w:szCs w:val="20"/>
          <w:color w:val="auto"/>
        </w:rPr>
      </w:pPr>
      <w:r>
        <w:rPr>
          <w:rFonts w:ascii="Times New Roman" w:cs="Times New Roman" w:eastAsia="Times New Roman" w:hAnsi="Times New Roman"/>
          <w:sz w:val="17"/>
          <w:szCs w:val="17"/>
          <w:color w:val="auto"/>
        </w:rPr>
        <w:t>Regardless of the degree of risk presented by the medical device, clinical studies must be approved by, and conducted under the oversight of, an Institutional Review Board, or IRB, for each clinical site.</w:t>
      </w:r>
    </w:p>
    <w:p>
      <w:pPr>
        <w:spacing w:after="0" w:line="100"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22" w:lineRule="exact"/>
        <w:rPr>
          <w:sz w:val="20"/>
          <w:szCs w:val="20"/>
          <w:color w:val="auto"/>
        </w:rPr>
      </w:pPr>
    </w:p>
    <w:p>
      <w:pPr>
        <w:ind w:right="80" w:firstLine="309"/>
        <w:spacing w:after="0" w:line="261" w:lineRule="auto"/>
        <w:rPr>
          <w:sz w:val="20"/>
          <w:szCs w:val="20"/>
          <w:color w:val="auto"/>
        </w:rPr>
      </w:pPr>
      <w:r>
        <w:rPr>
          <w:rFonts w:ascii="Times New Roman" w:cs="Times New Roman" w:eastAsia="Times New Roman" w:hAnsi="Times New Roman"/>
          <w:sz w:val="17"/>
          <w:szCs w:val="17"/>
          <w:color w:val="auto"/>
        </w:rPr>
        <w:t>After a device is cleared or approved for marketing, numerous and pervasive regulatory requirements continue to apply. These include: establishment registration and device listing with the FDA; 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correction, removal and recall reporting regulations, which require that manufacturers report to the FDA field corrections and product recalls or removals if undertaken to reduce a risk</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to health posed by the device or to remedy a violation of the FDCA that may present a risk to health; complying with the new federal law and regulations requiring Unique Device Identifiers, or UDI, on devices and also requiring the submission of certain information about each device to the FDA’s Global Unique Device Identification Database; the FDA’s recall authority, whereby the agency can order device manufacturers to recall from the market a product that is in violation of governing laws and regulations; and post-market surveillance activities and regulations, which apply when deemed by the FDA to be necessary to protect the public health or to provide additional safety and effectiveness data for the device.</w:t>
      </w:r>
    </w:p>
    <w:p>
      <w:pPr>
        <w:spacing w:after="0" w:line="123" w:lineRule="exact"/>
        <w:rPr>
          <w:sz w:val="20"/>
          <w:szCs w:val="20"/>
          <w:color w:val="auto"/>
        </w:rPr>
      </w:pPr>
    </w:p>
    <w:p>
      <w:pPr>
        <w:ind w:right="80" w:firstLine="309"/>
        <w:spacing w:after="0" w:line="258" w:lineRule="auto"/>
        <w:rPr>
          <w:sz w:val="20"/>
          <w:szCs w:val="20"/>
          <w:color w:val="auto"/>
        </w:rPr>
      </w:pPr>
      <w:r>
        <w:rPr>
          <w:rFonts w:ascii="Times New Roman" w:cs="Times New Roman" w:eastAsia="Times New Roman" w:hAnsi="Times New Roman"/>
          <w:sz w:val="17"/>
          <w:szCs w:val="17"/>
          <w:color w:val="auto"/>
        </w:rPr>
        <w:t>Our manufacturing processes are required to comply with the Quality Management System Regulation (“QMSR”). The QMSR, which became effective on February 2, 2026, incorporates certain elements of ISO 13485:2016 by reference and covers, among other things, the methods used in, and the facilities and controls used for, the design, testing, controlling, documenting, manufacture, packaging, labeling, storage, installation, and servicing of all medical devices intended for human use. The QMSR also requires maintenance of extensive records, which demonstrate compliance with the FDA regulations, the manufacturer’s own procedures, specifications, and testing, as well as distribution and post-market experience. Compliance with the QMSR is necessary for a manufacturer to be able to continue to market cleared or approved product offerings in the U.S. A company’s facilities, records, and manufacturing processes are subject to periodic scheduled or unscheduled inspections by the FDA. Failure to maintain compliance with applicable QMSR requirements could result in the shutdown of, or restrictions on, manufacturing operations and the recall or seizure of marketed products.</w:t>
      </w:r>
    </w:p>
    <w:p>
      <w:pPr>
        <w:spacing w:after="0" w:line="124" w:lineRule="exact"/>
        <w:rPr>
          <w:sz w:val="20"/>
          <w:szCs w:val="20"/>
          <w:color w:val="auto"/>
        </w:rPr>
      </w:pPr>
    </w:p>
    <w:p>
      <w:pPr>
        <w:ind w:right="300" w:firstLine="309"/>
        <w:spacing w:after="0" w:line="287" w:lineRule="auto"/>
        <w:rPr>
          <w:sz w:val="20"/>
          <w:szCs w:val="20"/>
          <w:color w:val="auto"/>
        </w:rPr>
      </w:pPr>
      <w:r>
        <w:rPr>
          <w:rFonts w:ascii="Times New Roman" w:cs="Times New Roman" w:eastAsia="Times New Roman" w:hAnsi="Times New Roman"/>
          <w:sz w:val="17"/>
          <w:szCs w:val="17"/>
          <w:color w:val="auto"/>
        </w:rPr>
        <w:t>If the FDA determines that we failed to comply with applicable regulatory requirements, it can take a variety of compliance or enforcement actions, which may result in any of the following sanctions:</w:t>
      </w:r>
    </w:p>
    <w:p>
      <w:pPr>
        <w:spacing w:after="0" w:line="100"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 untitled letters, fines, injunctions, consent decrees and civil penalties;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recalls, withdrawals, or administrative detention or seizure of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or delaying requests for 510(k) marketing clearance or PMA approvals of new products or modified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withdrawing 510(k) clearances or PMA approvals that have already been granted;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grant export or import approvals for our products; or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California Regulation</w:t>
      </w:r>
    </w:p>
    <w:p>
      <w:pPr>
        <w:spacing w:after="0" w:line="171"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The State of California requires that we obtain a license to manufacture medical devices. In accordance with the State of California regulations, our license to manufacture is renewed annually with any updated manufacturing information. Although the State of California has announced the suspension of routine periodic inspections, there can be no assurance that the State of California will not resume such inspections or conduct such inspections under specific circumstances that are not yet known.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Regulations</w:t>
      </w:r>
    </w:p>
    <w:p>
      <w:pPr>
        <w:spacing w:after="0" w:line="171" w:lineRule="exact"/>
        <w:rPr>
          <w:sz w:val="20"/>
          <w:szCs w:val="20"/>
          <w:color w:val="auto"/>
        </w:rPr>
      </w:pPr>
    </w:p>
    <w:p>
      <w:pPr>
        <w:ind w:right="180" w:firstLine="309"/>
        <w:spacing w:after="0" w:line="261" w:lineRule="auto"/>
        <w:rPr>
          <w:sz w:val="20"/>
          <w:szCs w:val="20"/>
          <w:color w:val="auto"/>
        </w:rPr>
      </w:pPr>
      <w:r>
        <w:rPr>
          <w:rFonts w:ascii="Times New Roman" w:cs="Times New Roman" w:eastAsia="Times New Roman" w:hAnsi="Times New Roman"/>
          <w:sz w:val="17"/>
          <w:szCs w:val="17"/>
          <w:color w:val="auto"/>
        </w:rPr>
        <w:t>In order for us to market our products in countries outside the United States, we must obtain regulatory approvals and comply with extensive product and quality system regulations in other countries. These regulations, such as requirements for approvals or clearance and the time required for regulatory review, will vary from country to country. Some countries have regulatory review processes that are significantly longer than United States regulatory approval. Failure to obtain regulatory approval in a timely manner and meet all the local requirements (including language and specific safety standards) in any foreign country in which we plan to market our products could prevent us from marketing products in such countries or subject us to fines.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European Economic Area, or EEA</w:t>
      </w:r>
    </w:p>
    <w:p>
      <w:pPr>
        <w:spacing w:after="0" w:line="169" w:lineRule="exact"/>
        <w:rPr>
          <w:sz w:val="20"/>
          <w:szCs w:val="20"/>
          <w:color w:val="auto"/>
        </w:rPr>
      </w:pPr>
    </w:p>
    <w:p>
      <w:pPr>
        <w:ind w:right="300" w:firstLine="309"/>
        <w:spacing w:after="0" w:line="287" w:lineRule="auto"/>
        <w:rPr>
          <w:sz w:val="20"/>
          <w:szCs w:val="20"/>
          <w:color w:val="auto"/>
        </w:rPr>
      </w:pPr>
      <w:r>
        <w:rPr>
          <w:rFonts w:ascii="Times New Roman" w:cs="Times New Roman" w:eastAsia="Times New Roman" w:hAnsi="Times New Roman"/>
          <w:sz w:val="17"/>
          <w:szCs w:val="17"/>
          <w:color w:val="auto"/>
        </w:rPr>
        <w:t>The European Union, or EU, has adopted specific directives and regulations regulating among other things, the design, manufacture, clinical investigation, conformity assessment, labeling and adverse event reporting for medical devices.</w:t>
      </w:r>
    </w:p>
    <w:p>
      <w:pPr>
        <w:spacing w:after="0" w:line="100"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On May 26, 2021, the Regulation (EU) 2017/745 on Medical Devices, or the MDR, entered into application, repealing and replacing both the Medical Devices Directive 93/42/EEC, or the MDD, and the Active Implantable Medical Devices Directive 90/385/EEC, or the AIMDD. The MDR and its associated guidance documents and harmonized standards</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govern, among other things, device design and development, preclinical and clinical requirements, premarket conformity assessment and post-market surveillance, vigilance, and market surveillance.</w:t>
      </w:r>
    </w:p>
    <w:p>
      <w:pPr>
        <w:spacing w:after="0" w:line="100"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In order to avoid shortages of medical devices needed for the smooth functioning of healthcare services, the MDR was amended to provide extended transitional periods for devices which were CE marked under the MDD or the AIMDD and fulfill certain conditions outlined in the MDR. Pursuing marketing of medical devices in the EU will notably require that all our devices be certified under the MDR. Regardless of whether we have already obtained certification under the MDD, since May 26, 2021, the MDR requirements apply in place of the corresponding requirements of the MDD and the AIMDD with regard to registration of economic operators and of devices, post-market surveillance and vigilance requirements.</w:t>
      </w:r>
    </w:p>
    <w:p>
      <w:pPr>
        <w:spacing w:after="0" w:line="123" w:lineRule="exact"/>
        <w:rPr>
          <w:sz w:val="20"/>
          <w:szCs w:val="20"/>
          <w:color w:val="auto"/>
        </w:rPr>
      </w:pPr>
    </w:p>
    <w:p>
      <w:pPr>
        <w:ind w:firstLine="309"/>
        <w:spacing w:after="0" w:line="255" w:lineRule="auto"/>
        <w:rPr>
          <w:sz w:val="20"/>
          <w:szCs w:val="20"/>
          <w:color w:val="auto"/>
        </w:rPr>
      </w:pPr>
      <w:r>
        <w:rPr>
          <w:rFonts w:ascii="Times New Roman" w:cs="Times New Roman" w:eastAsia="Times New Roman" w:hAnsi="Times New Roman"/>
          <w:sz w:val="17"/>
          <w:szCs w:val="17"/>
          <w:color w:val="auto"/>
        </w:rPr>
        <w:t>In the EU, unlike the US, there is no regulatory approval process prior to marketing of medical devices. However, the EU requires that all medical devices, including medical device software, or MDSW, placed on the market in the EU must comply with the General Safety and Performance Requirements, or GSPRs, set out in Annex I of the MDR, including the requirement that a medical device must be designed and manufactured in such a way that, during normal conditions of use, it is suitable for its intended purpose. Compliance with these requirements is a prerequisite to be able to affix the CE Mark to devices, including MDSW, without which they cannot be marketed or sold in the EEA. To demonstrate compliance with the GSPRs provided in the MDR and obtain the right to affix the CE Mark, medical devices manufacturers must undergo a conformity assessment procedure, which varies according to the type of medical device and its classification. Apart from low-risk medical devices (Class I with no measuring function, not reusable and which are not sterile), in relation to which the manufacturer may issue an EC Declaration of Conformity based on a self-assessment of the conformity of its products with the GSPRs, a conformity assessment procedure requires the involvement of a Notified Body, which is an organization designated by a Competent Authority of an EEA country to conduct conformity assessments. Depending on the relevant conformity assessment procedure, the Notified Body audits and examines the technical documentation and the quality management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GSPRs. This Certificate and the related conformity assessment process entitles the manufacturer to affix the CE Mark to its medical devices after having drawn up and signed a related EC Declaration of Conformity.</w:t>
      </w:r>
    </w:p>
    <w:p>
      <w:pPr>
        <w:spacing w:after="0" w:line="135" w:lineRule="exact"/>
        <w:rPr>
          <w:sz w:val="20"/>
          <w:szCs w:val="20"/>
          <w:color w:val="auto"/>
        </w:rPr>
      </w:pPr>
    </w:p>
    <w:p>
      <w:pPr>
        <w:ind w:right="20" w:firstLine="309"/>
        <w:spacing w:after="0" w:line="256" w:lineRule="auto"/>
        <w:rPr>
          <w:sz w:val="20"/>
          <w:szCs w:val="20"/>
          <w:color w:val="auto"/>
        </w:rPr>
      </w:pPr>
      <w:r>
        <w:rPr>
          <w:rFonts w:ascii="Times New Roman" w:cs="Times New Roman" w:eastAsia="Times New Roman" w:hAnsi="Times New Roman"/>
          <w:sz w:val="17"/>
          <w:szCs w:val="17"/>
          <w:color w:val="auto"/>
        </w:rPr>
        <w:t>As a general rule, demonstration of conformity of medical devices and their manufacturers with the GSPRs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Manufacturers are required to specify and justify the level of clinical evidence necessary to demonstrate conformity with the relevant GSPR. This level of clinical evidence must be appropriate in view of the characteristics of the device and its intended purpose. The conduct of clinical studies in the EU is governed by detailed regulatory obligations. These may include the requirement of prior authorization by the competent authorities of the EU member state in which the investigation takes place and the requirement to obtain a positive opinion from a competent ethics committee. This process can be expensive and time-consuming.</w:t>
      </w:r>
    </w:p>
    <w:p>
      <w:pPr>
        <w:spacing w:after="0" w:line="130"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To demonstrate compliance with certain GSPRs relating to the design and manufacture of medical devices, manufacturers may rely on compliance with the list of EU harmonized standards relating to medical devices. While not mandatory, compliance with these standards creates a presumption of conformity with the related GSPRs. Throughout the term of the Certificate, the manufacturer will be subject to periodic surveillance audits by the notified body to verify continued compliance with the applicable requirements. The notified body will also conduct an audit before renewing a Certificate. The quality management system and technical documentation of manufacturers will be required to be recertified periodically, as CE Certificates of Conformity issued by a notified body remain valid only for the period indicated in them and in no case exceed five years.</w:t>
      </w:r>
    </w:p>
    <w:p>
      <w:pPr>
        <w:spacing w:after="0" w:line="122"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After a device is placed on the market, it remains subject to significant regulatory requirements. The MDR imposes post-marketing surveillance requirements which requires manufacturers to continuously and proactively monitor the performance and safety of their devices through implementation of a post-market surveillance system, in a manner that is proportionate to the risk class and appropriate for the type of their device. Once a device is on the EU market, manufacturers must comply with certain vigilance requirements, such as the reporting of serious incidents and field safety</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corrective actions (even those occurring outside the EU) to the relevant Competent Authorities. The Competent Authorities of each EU Member State oversee the implementation of the MDR within their jurisdiction.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Regions</w:t>
      </w:r>
    </w:p>
    <w:p>
      <w:pPr>
        <w:spacing w:after="0" w:line="157"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Most medical devices must undergo thorough safety examinations and demonstrate medical efficacy before they receive regulatory approval to be sold in Japan.</w:t>
      </w:r>
    </w:p>
    <w:p>
      <w:pPr>
        <w:spacing w:after="0" w:line="100" w:lineRule="exact"/>
        <w:rPr>
          <w:sz w:val="20"/>
          <w:szCs w:val="20"/>
          <w:color w:val="auto"/>
        </w:rPr>
      </w:pPr>
    </w:p>
    <w:p>
      <w:pPr>
        <w:ind w:right="580" w:firstLine="309"/>
        <w:spacing w:after="0" w:line="287" w:lineRule="auto"/>
        <w:rPr>
          <w:sz w:val="20"/>
          <w:szCs w:val="20"/>
          <w:color w:val="auto"/>
        </w:rPr>
      </w:pPr>
      <w:r>
        <w:rPr>
          <w:rFonts w:ascii="Times New Roman" w:cs="Times New Roman" w:eastAsia="Times New Roman" w:hAnsi="Times New Roman"/>
          <w:sz w:val="17"/>
          <w:szCs w:val="17"/>
          <w:color w:val="auto"/>
        </w:rPr>
        <w:t>Regulations in other countries, including the requirements for approvals or clearance and the time required for regulatory review, vary from country to country. These countries typically require regulatory approvals and compliance with extensive safety and quality system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State and Foreign Fraud and Abuse and Physician Payment Transparency Laws</w:t>
      </w:r>
    </w:p>
    <w:p>
      <w:pPr>
        <w:spacing w:after="0" w:line="171" w:lineRule="exact"/>
        <w:rPr>
          <w:sz w:val="20"/>
          <w:szCs w:val="20"/>
          <w:color w:val="auto"/>
        </w:rPr>
      </w:pPr>
    </w:p>
    <w:p>
      <w:pPr>
        <w:ind w:right="60" w:firstLine="309"/>
        <w:spacing w:after="0" w:line="270" w:lineRule="auto"/>
        <w:rPr>
          <w:sz w:val="20"/>
          <w:szCs w:val="20"/>
          <w:color w:val="auto"/>
        </w:rPr>
      </w:pPr>
      <w:r>
        <w:rPr>
          <w:rFonts w:ascii="Times New Roman" w:cs="Times New Roman" w:eastAsia="Times New Roman" w:hAnsi="Times New Roman"/>
          <w:sz w:val="17"/>
          <w:szCs w:val="17"/>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11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referral of an individual or the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and can include stock, stock options, and the compensation derived through ownership interests.</w:t>
      </w:r>
    </w:p>
    <w:p>
      <w:pPr>
        <w:spacing w:after="0" w:line="123" w:lineRule="exact"/>
        <w:rPr>
          <w:sz w:val="20"/>
          <w:szCs w:val="20"/>
          <w:color w:val="auto"/>
        </w:rPr>
      </w:pPr>
    </w:p>
    <w:p>
      <w:pPr>
        <w:ind w:right="40" w:firstLine="309"/>
        <w:spacing w:after="0" w:line="257" w:lineRule="auto"/>
        <w:rPr>
          <w:sz w:val="20"/>
          <w:szCs w:val="20"/>
          <w:color w:val="auto"/>
        </w:rPr>
      </w:pPr>
      <w:r>
        <w:rPr>
          <w:rFonts w:ascii="Times New Roman" w:cs="Times New Roman" w:eastAsia="Times New Roman" w:hAnsi="Times New Roman"/>
          <w:sz w:val="17"/>
          <w:szCs w:val="17"/>
          <w:color w:val="auto"/>
        </w:rPr>
        <w:t>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 alleged to be intended to induce prescribing, purchases or recommendations of our products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and may result in increased scrutiny by government enforcement authorities.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w:t>
      </w:r>
    </w:p>
    <w:p>
      <w:pPr>
        <w:spacing w:after="0" w:line="127" w:lineRule="exact"/>
        <w:rPr>
          <w:sz w:val="20"/>
          <w:szCs w:val="20"/>
          <w:color w:val="auto"/>
        </w:rPr>
      </w:pPr>
    </w:p>
    <w:p>
      <w:pPr>
        <w:ind w:right="100" w:firstLine="309"/>
        <w:spacing w:after="0" w:line="287" w:lineRule="auto"/>
        <w:rPr>
          <w:sz w:val="20"/>
          <w:szCs w:val="20"/>
          <w:color w:val="auto"/>
        </w:rPr>
      </w:pPr>
      <w:r>
        <w:rPr>
          <w:rFonts w:ascii="Times New Roman" w:cs="Times New Roman" w:eastAsia="Times New Roman" w:hAnsi="Times New Roman"/>
          <w:sz w:val="17"/>
          <w:szCs w:val="17"/>
          <w:color w:val="auto"/>
        </w:rPr>
        <w:t>The majority of states, as well as many of the non-U.S. jurisdictions where we operate, also have anti-kickback laws which establish similar prohibitions and, in some cases, may apply more broadly to items or services covered by any third-party payor, including commercial insurers and self-pay patients.</w:t>
      </w:r>
    </w:p>
    <w:p>
      <w:pPr>
        <w:spacing w:after="0" w:line="100"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The federal civil False Claims Act prohibits, among other things, any person or entity from knowingly presenting, or causing to be presented, a false or fraudulent claim for payment of government funds or knowingly making, using or causing to be made or used a false record or statement material to a false or fraudulent claim to the federal government. In addition, private parties may initiate “qui tam” whistleblower lawsuits against any person or entity under the federal civil False Claims Act in the name of the government and share in the proceeds of any monetary recovery. Moreover, a claim including items or services resulting from a violation of the federal Anti-Kickback Statute constitutes a false or fraudulent claim for purposes of the federal civil False Claims Act. Penalties for federal civil False Claim Act violations include penalties for each false claim, plus up to three times the amount of damages sustained by the federal government and, most critically, may provide the basis for exclusion from the federally funded healthcare program. There are also criminal penalties for making or presenting of a claim to the government knowing such claim to be false, fictitious or fraudulent.</w:t>
      </w:r>
    </w:p>
    <w:p>
      <w:pPr>
        <w:spacing w:after="0" w:line="124"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Additionally, there has been a recent trend of increased foreign, federal, and state regulation of payments and transfers of value provided to healthcare professionals or entities. The federal Physician Payments Sunshine Act requires manufacturers of drugs, devices, biologics and medical supplies for which payment is available under Medicare, Medicaid, or the Children’s Health Insurance Program to report annually to the CMS, information related to payments or and other “transfers of value” made to physicians (currently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requires applicable manufacturers to report annually to CMS ownership and investment interests held by physicians and their immediate family members and payments or other “transfers of value” to such physician owners.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27" w:lineRule="exact"/>
        <w:rPr>
          <w:sz w:val="20"/>
          <w:szCs w:val="20"/>
          <w:color w:val="auto"/>
        </w:rPr>
      </w:pPr>
    </w:p>
    <w:p>
      <w:pPr>
        <w:ind w:right="140" w:firstLine="309"/>
        <w:spacing w:after="0" w:line="264" w:lineRule="auto"/>
        <w:rPr>
          <w:sz w:val="20"/>
          <w:szCs w:val="20"/>
          <w:color w:val="auto"/>
        </w:rPr>
      </w:pPr>
      <w:r>
        <w:rPr>
          <w:rFonts w:ascii="Times New Roman" w:cs="Times New Roman" w:eastAsia="Times New Roman" w:hAnsi="Times New Roman"/>
          <w:sz w:val="17"/>
          <w:szCs w:val="17"/>
          <w:color w:val="auto"/>
        </w:rPr>
        <w:t>Many foreign countries have similar laws relating to healthcare fraud and abuse. Foreign laws and regulations may vary greatly from country to country. The advertising and promotion of medical devices are also subject to EU and EU Member States’ laws governing promotion of medical devices, interactions with physicians and other healthcare professionals, misleading and comparative advertising and unfair commercial practices. These laws may limit or restrict the advertising and promotion of our products to the general public and may impose limitations on our promotional activities with healthcare professionals.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Violations of any of these laws or any other governmental regulations that apply may result in significant penalties including administrative, civil, and</w:t>
      </w:r>
    </w:p>
    <w:p>
      <w:pPr>
        <w:spacing w:after="0" w:line="4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criminal damages, disgorgement, fines, additional reporting requirements and compliance oversight obligations in the event that a corporate integrity agreement or other agreement is required to resolve allegations of noncompliance with these laws, the curtailment or restructuring of operations, exclusion from participation in government healthcare programs and/or individual imprisonment.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Reform Measures</w:t>
      </w:r>
    </w:p>
    <w:p>
      <w:pPr>
        <w:spacing w:after="0" w:line="171" w:lineRule="exact"/>
        <w:rPr>
          <w:sz w:val="20"/>
          <w:szCs w:val="20"/>
          <w:color w:val="auto"/>
        </w:rPr>
      </w:pPr>
    </w:p>
    <w:p>
      <w:pPr>
        <w:jc w:val="both"/>
        <w:ind w:right="460" w:firstLine="309"/>
        <w:spacing w:after="0" w:line="270" w:lineRule="auto"/>
        <w:rPr>
          <w:sz w:val="20"/>
          <w:szCs w:val="20"/>
          <w:color w:val="auto"/>
        </w:rPr>
      </w:pPr>
      <w:r>
        <w:rPr>
          <w:rFonts w:ascii="Times New Roman" w:cs="Times New Roman" w:eastAsia="Times New Roman" w:hAnsi="Times New Roman"/>
          <w:sz w:val="17"/>
          <w:szCs w:val="17"/>
          <w:color w:val="auto"/>
        </w:rPr>
        <w:t>In the United States, there have been, and may continue to be, a number of legislative and regulatory changes to the healthcare system. Federal and state lawmakers regularly propose and, at times, enact legislation that would result in significant changes to the healthcare system, some of which are intended to contain or reduce the costs of medical products and services.</w:t>
      </w:r>
    </w:p>
    <w:p>
      <w:pPr>
        <w:spacing w:after="0" w:line="114" w:lineRule="exact"/>
        <w:rPr>
          <w:sz w:val="20"/>
          <w:szCs w:val="20"/>
          <w:color w:val="auto"/>
        </w:rPr>
      </w:pPr>
    </w:p>
    <w:p>
      <w:pPr>
        <w:ind w:right="20" w:firstLine="309"/>
        <w:spacing w:after="0" w:line="264" w:lineRule="auto"/>
        <w:rPr>
          <w:sz w:val="20"/>
          <w:szCs w:val="20"/>
          <w:color w:val="auto"/>
        </w:rPr>
      </w:pPr>
      <w:r>
        <w:rPr>
          <w:rFonts w:ascii="Times New Roman" w:cs="Times New Roman" w:eastAsia="Times New Roman" w:hAnsi="Times New Roman"/>
          <w:sz w:val="17"/>
          <w:szCs w:val="17"/>
          <w:color w:val="auto"/>
        </w:rPr>
        <w:t>By way of example, in the United States, the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judicial, executive and Congressional challenges to certain aspects of the ACA.</w:t>
      </w:r>
    </w:p>
    <w:p>
      <w:pPr>
        <w:spacing w:after="0" w:line="120"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ACA was enacted. For example, the Budget Control Act of 2011, among other things, and in connection with subsequent legislation, reduced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Subsequent amendments to this law provide for 1% Medicare sequestration through the second quarter of 2022 and the full 2% sequestration thereafter until 2032. This sequestration is currently set at 2% and will continue through the first 8 months of fiscal year 2032.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 The current presidential administration and Congress may continue to pursue significant changes to the current healthcare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Privacy and Security Laws</w:t>
      </w:r>
    </w:p>
    <w:p>
      <w:pPr>
        <w:spacing w:after="0" w:line="171"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and consumer protection laws and regulations that govern the collection, use, disclosure, and protection of health-related and other personal information could apply to our operations or the operations of our partners. In addition, certain foreign laws govern the privacy and security of personal information, including health-</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related information in certain circumstances,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Anti-Bribery and Corruption Laws</w:t>
      </w:r>
    </w:p>
    <w:p>
      <w:pPr>
        <w:spacing w:after="0" w:line="171"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Our U.S. operations are subject to the FCPA. We are required to comply with the FCPA, which generally prohibits covered entities and their employees, agents and intermediaries from engaging in bribery or authorizing, promising, providing, or offering, directly or indirectly, anything of value to foreign officials for the purpose of obtaining or retaining business or other benefits. In addition, the FCPA imposes accounting standards and requirements on publicly traded U.S. corporations and their foreign affiliates, which requires such companies to maintain complete and accurate books and records and maintain a system of internal accounting controls. We also are subject to similar anticorruption laws and regulations implementing the Organization for Economic Co-operation and Development’s Convention on Combating Bribery of Foreign Public Officials in International Business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 and Human Capital Resources</w:t>
      </w:r>
    </w:p>
    <w:p>
      <w:pPr>
        <w:spacing w:after="0" w:line="169" w:lineRule="exact"/>
        <w:rPr>
          <w:sz w:val="20"/>
          <w:szCs w:val="20"/>
          <w:color w:val="auto"/>
        </w:rPr>
      </w:pPr>
    </w:p>
    <w:p>
      <w:pPr>
        <w:ind w:right="60" w:firstLine="309"/>
        <w:spacing w:after="0" w:line="287" w:lineRule="auto"/>
        <w:rPr>
          <w:sz w:val="20"/>
          <w:szCs w:val="20"/>
          <w:color w:val="auto"/>
        </w:rPr>
      </w:pPr>
      <w:r>
        <w:rPr>
          <w:rFonts w:ascii="Times New Roman" w:cs="Times New Roman" w:eastAsia="Times New Roman" w:hAnsi="Times New Roman"/>
          <w:sz w:val="17"/>
          <w:szCs w:val="17"/>
          <w:color w:val="auto"/>
        </w:rPr>
        <w:t>Our growing and skilled employee base drives our success and helps us progress towards our vision of restoring patient lives by delivering the BPH treatment of choice. As of December 31, 2025, we had 888 employees.</w:t>
      </w:r>
    </w:p>
    <w:p>
      <w:pPr>
        <w:spacing w:after="0" w:line="100" w:lineRule="exact"/>
        <w:rPr>
          <w:sz w:val="20"/>
          <w:szCs w:val="20"/>
          <w:color w:val="auto"/>
        </w:rPr>
      </w:pPr>
    </w:p>
    <w:p>
      <w:pPr>
        <w:ind w:right="380" w:firstLine="309"/>
        <w:spacing w:after="0" w:line="270" w:lineRule="auto"/>
        <w:rPr>
          <w:sz w:val="20"/>
          <w:szCs w:val="20"/>
          <w:color w:val="auto"/>
        </w:rPr>
      </w:pPr>
      <w:r>
        <w:rPr>
          <w:rFonts w:ascii="Times New Roman" w:cs="Times New Roman" w:eastAsia="Times New Roman" w:hAnsi="Times New Roman"/>
          <w:sz w:val="17"/>
          <w:szCs w:val="17"/>
          <w:color w:val="auto"/>
        </w:rPr>
        <w:t>Our future success depends on our ability to attract, retain, engage and further develop top talent. To facilitate talent attraction, retention, engagement and development, we strive for a diverse workplace with a superior employee experience that provides opportunities for our employees to grow within the organization, supported by strong compensation, benefits, and health and wellness programs and an inclusive environment.</w:t>
      </w:r>
    </w:p>
    <w:p>
      <w:pPr>
        <w:spacing w:after="0" w:line="114" w:lineRule="exact"/>
        <w:rPr>
          <w:sz w:val="20"/>
          <w:szCs w:val="20"/>
          <w:color w:val="auto"/>
        </w:rPr>
      </w:pPr>
    </w:p>
    <w:p>
      <w:pPr>
        <w:jc w:val="both"/>
        <w:ind w:right="100" w:firstLine="309"/>
        <w:spacing w:after="0" w:line="270" w:lineRule="auto"/>
        <w:rPr>
          <w:sz w:val="20"/>
          <w:szCs w:val="20"/>
          <w:color w:val="auto"/>
        </w:rPr>
      </w:pPr>
      <w:r>
        <w:rPr>
          <w:rFonts w:ascii="Times New Roman" w:cs="Times New Roman" w:eastAsia="Times New Roman" w:hAnsi="Times New Roman"/>
          <w:sz w:val="17"/>
          <w:szCs w:val="17"/>
          <w:color w:val="auto"/>
        </w:rPr>
        <w:t>Beginning in 2022 and updated annually since then, we have published our Environmental, Social, and Governance or ESG Report, which is available on our website and includes more detailed information on our human capital programs and initiatives. Nothing contained on or accessible through our website, including our ESG Report or sections thereof, shall be deemed incorporated by reference into this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Human Capital and Inclusiveness</w:t>
      </w:r>
    </w:p>
    <w:p>
      <w:pPr>
        <w:spacing w:after="0" w:line="171"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Inclusiveness is valued in our organization because we strongly believe that it drives superior results – and truly reflects the communities we serve and in which we work. We believe that everyone should feel included and fairly treated, and we embrace the unique qualities of our employees including all genders and gender identities, races, ethnicities, ages, national origins, disabilities, sexual orientations, military and socioeconomic backgrounds, and religions, as well as any other protected characteristics.</w:t>
      </w:r>
    </w:p>
    <w:p>
      <w:pPr>
        <w:spacing w:after="0" w:line="120" w:lineRule="exact"/>
        <w:rPr>
          <w:sz w:val="20"/>
          <w:szCs w:val="20"/>
          <w:color w:val="auto"/>
        </w:rPr>
      </w:pPr>
    </w:p>
    <w:p>
      <w:pPr>
        <w:ind w:right="260" w:firstLine="309"/>
        <w:spacing w:after="0" w:line="287" w:lineRule="auto"/>
        <w:rPr>
          <w:sz w:val="20"/>
          <w:szCs w:val="20"/>
          <w:color w:val="auto"/>
        </w:rPr>
      </w:pPr>
      <w:r>
        <w:rPr>
          <w:rFonts w:ascii="Times New Roman" w:cs="Times New Roman" w:eastAsia="Times New Roman" w:hAnsi="Times New Roman"/>
          <w:sz w:val="17"/>
          <w:szCs w:val="17"/>
          <w:color w:val="auto"/>
        </w:rPr>
        <w:t>Additionally, from a governance perspective, we maintain a mix of skills, backgrounds and experience on our executive team and on our board to serve the needs of our diverse stakeholders.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 Safety and Wellness</w:t>
      </w:r>
    </w:p>
    <w:p>
      <w:pPr>
        <w:spacing w:after="0" w:line="171" w:lineRule="exact"/>
        <w:rPr>
          <w:sz w:val="20"/>
          <w:szCs w:val="20"/>
          <w:color w:val="auto"/>
        </w:rPr>
      </w:pPr>
    </w:p>
    <w:p>
      <w:pPr>
        <w:jc w:val="both"/>
        <w:ind w:right="200" w:firstLine="309"/>
        <w:spacing w:after="0" w:line="270" w:lineRule="auto"/>
        <w:rPr>
          <w:sz w:val="20"/>
          <w:szCs w:val="20"/>
          <w:color w:val="auto"/>
        </w:rPr>
      </w:pPr>
      <w:r>
        <w:rPr>
          <w:rFonts w:ascii="Times New Roman" w:cs="Times New Roman" w:eastAsia="Times New Roman" w:hAnsi="Times New Roman"/>
          <w:sz w:val="17"/>
          <w:szCs w:val="17"/>
          <w:color w:val="auto"/>
        </w:rPr>
        <w:t>The health, safety and wellness of our employees is an area where we continued to invest and expand throughout 2025. We provide our employees and their families with access to a variety of comprehensive health, wellness and time off programs that support physical, mental, emotional and financial well-being. We have a zero-tolerance policy concerning workplace violence including any threatening behavior on our premises or during any work-related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71" w:lineRule="exact"/>
        <w:rPr>
          <w:sz w:val="20"/>
          <w:szCs w:val="20"/>
          <w:color w:val="auto"/>
        </w:rPr>
      </w:pPr>
    </w:p>
    <w:p>
      <w:pPr>
        <w:ind w:right="140" w:firstLine="309"/>
        <w:spacing w:after="0" w:line="261" w:lineRule="auto"/>
        <w:rPr>
          <w:sz w:val="20"/>
          <w:szCs w:val="20"/>
          <w:color w:val="auto"/>
        </w:rPr>
      </w:pPr>
      <w:r>
        <w:rPr>
          <w:rFonts w:ascii="Times New Roman" w:cs="Times New Roman" w:eastAsia="Times New Roman" w:hAnsi="Times New Roman"/>
          <w:sz w:val="17"/>
          <w:szCs w:val="17"/>
          <w:color w:val="auto"/>
        </w:rPr>
        <w:t>Our compensation programs are designed to align the compensation of our employees with our Company’s performance and to provide the proper incentives to attract, retain and motivate employees to achieve superior results. We believe compensation and rewards should be fair and merit based and free from discrimination on the basis of race, gender or any other protected characteristics. We provide a comprehensive suite of compensation and benefits programs including annual bonuses, equity awards, an Employee Stock Purchase Plan, retirement savings plans with a company match, healthcare, income protection benefits, paid time off, leave of absence benefits, flexible work arrangements, and numerous well-being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Talent Development</w:t>
      </w: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0" w:firstLine="309"/>
        <w:spacing w:after="0" w:line="264" w:lineRule="auto"/>
        <w:rPr>
          <w:sz w:val="20"/>
          <w:szCs w:val="20"/>
          <w:color w:val="auto"/>
        </w:rPr>
      </w:pPr>
      <w:r>
        <w:rPr>
          <w:rFonts w:ascii="Times New Roman" w:cs="Times New Roman" w:eastAsia="Times New Roman" w:hAnsi="Times New Roman"/>
          <w:sz w:val="17"/>
          <w:szCs w:val="17"/>
          <w:color w:val="auto"/>
        </w:rPr>
        <w:t>Professional growth is a key indicator of employee satisfaction and helping our employees reach and exceed their goals helps us retain and engage our outstanding talent. We foster professional growth by providing stretch assignments, projects and manager-led coaching and mentoring to help employees meet their career goals. We continuously work on improving manager effectiveness by providing training on people processes and a program that focuses on building connection and trust, high performing teams, and fostering a growth mindset.</w:t>
      </w:r>
    </w:p>
    <w:p>
      <w:pPr>
        <w:spacing w:after="0" w:line="120"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We have an annual global performance review process for reviewing all employees’ performance and encourage ongoing conversations and a mid-year review as well. We also have an annual compensation process to review pay. To support our managers, we train them on topics such as conducting effective performance reflections and making equitable compensation recommendations, considering market pay data, experience in role and performance.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Engagement</w:t>
      </w:r>
    </w:p>
    <w:p>
      <w:pPr>
        <w:spacing w:after="0" w:line="171" w:lineRule="exact"/>
        <w:rPr>
          <w:sz w:val="20"/>
          <w:szCs w:val="20"/>
          <w:color w:val="auto"/>
        </w:rPr>
      </w:pPr>
    </w:p>
    <w:p>
      <w:pPr>
        <w:ind w:right="440" w:firstLine="309"/>
        <w:spacing w:after="0" w:line="287" w:lineRule="auto"/>
        <w:rPr>
          <w:sz w:val="20"/>
          <w:szCs w:val="20"/>
          <w:color w:val="auto"/>
        </w:rPr>
      </w:pPr>
      <w:r>
        <w:rPr>
          <w:rFonts w:ascii="Times New Roman" w:cs="Times New Roman" w:eastAsia="Times New Roman" w:hAnsi="Times New Roman"/>
          <w:sz w:val="17"/>
          <w:szCs w:val="17"/>
          <w:color w:val="auto"/>
        </w:rPr>
        <w:t>We strive to continuously improve our employee experience to impact employee retention and engagement, and we periodically conduct an engagement survey and take actions to address areas of employee concern.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69"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www.procept-biorobotics.com. Information on our website is not part of this report. The SEC maintains a website that contains the materials we file with the SEC at www.sec.gov.</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5"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163"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a history of significant net losses, we expect to continue to incur operating losses for the foreseeable future and we may not be able to achieve or sustain profitability.</w:t>
      </w:r>
    </w:p>
    <w:p>
      <w:pPr>
        <w:spacing w:after="0" w:line="94" w:lineRule="exact"/>
        <w:rPr>
          <w:sz w:val="20"/>
          <w:szCs w:val="20"/>
          <w:color w:val="auto"/>
        </w:rPr>
      </w:pPr>
    </w:p>
    <w:p>
      <w:pPr>
        <w:ind w:right="80" w:firstLine="309"/>
        <w:spacing w:after="0" w:line="260" w:lineRule="auto"/>
        <w:rPr>
          <w:sz w:val="20"/>
          <w:szCs w:val="20"/>
          <w:color w:val="auto"/>
        </w:rPr>
      </w:pPr>
      <w:r>
        <w:rPr>
          <w:rFonts w:ascii="Times New Roman" w:cs="Times New Roman" w:eastAsia="Times New Roman" w:hAnsi="Times New Roman"/>
          <w:sz w:val="17"/>
          <w:szCs w:val="17"/>
          <w:color w:val="auto"/>
        </w:rPr>
        <w:t>We have incurred significant net losses in each reporting period since our inception. For the years ended December 31, 2025 and 2024, we had a net loss of $95.6 million and $91.4 million, respectively. We expect to continue to incur additional losses in the future. As of December 31, 2025, we had an accumulated deficit of $641.6 million. To date, we have financed our operations primarily through net proceeds from sales of our equity securities, indebtedness, including our loan and security agreement, and, to a lesser extent, product revenue from sales of our robotic systems and disposables. The losses and accumulated deficit have primarily been due to the substantial investments we have made to develop our products, costs related to our sales and marketing efforts, including costs related to clinical and regulatory initiatives to obtain marketing approval, and infrastructure improvements.</w:t>
      </w:r>
    </w:p>
    <w:p>
      <w:pPr>
        <w:spacing w:after="0" w:line="122" w:lineRule="exact"/>
        <w:rPr>
          <w:sz w:val="20"/>
          <w:szCs w:val="20"/>
          <w:color w:val="auto"/>
        </w:rPr>
      </w:pPr>
    </w:p>
    <w:p>
      <w:pPr>
        <w:ind w:right="140" w:firstLine="309"/>
        <w:spacing w:after="0" w:line="260" w:lineRule="auto"/>
        <w:rPr>
          <w:sz w:val="20"/>
          <w:szCs w:val="20"/>
          <w:color w:val="auto"/>
        </w:rPr>
      </w:pPr>
      <w:r>
        <w:rPr>
          <w:rFonts w:ascii="Times New Roman" w:cs="Times New Roman" w:eastAsia="Times New Roman" w:hAnsi="Times New Roman"/>
          <w:sz w:val="17"/>
          <w:szCs w:val="17"/>
          <w:color w:val="auto"/>
        </w:rPr>
        <w:t>We may also encounter unforeseen expenses, difficulties, complications, delays and other known and unknown factors and risks frequently experienced by early-stage medical technology companies in rapidly evolving fields. In addition, as a public company, we will continue to incur significant legal, accounting and other expenses. Accordingly, we expect to continue to incur significant operating losses for the foreseeable future and we cannot assure you that we will achieve profitability in the future or that, if we do become profitable, we will sustain profitability. Our failure to achieve and sustain profitability in the future will make it more difficult to finance our capital requirements needed to operate our business and accomplish our strategic objectives, which would have a material adverse effect on our business, financial condition and results of operations and cause the market price of our common stock to decline.</w:t>
      </w:r>
    </w:p>
    <w:p>
      <w:pPr>
        <w:spacing w:after="0" w:line="116"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revenue is primarily generated from sales of our robotic systems and the accompanying single-use disposable handpieces, and we are therefore highly dependent on the success of those products.</w:t>
      </w:r>
    </w:p>
    <w:p>
      <w:pPr>
        <w:spacing w:after="0" w:line="94" w:lineRule="exact"/>
        <w:rPr>
          <w:sz w:val="20"/>
          <w:szCs w:val="20"/>
          <w:color w:val="auto"/>
        </w:rPr>
      </w:pPr>
    </w:p>
    <w:p>
      <w:pPr>
        <w:ind w:right="40" w:firstLine="309"/>
        <w:spacing w:after="0" w:line="258" w:lineRule="auto"/>
        <w:rPr>
          <w:sz w:val="20"/>
          <w:szCs w:val="20"/>
          <w:color w:val="auto"/>
        </w:rPr>
      </w:pPr>
      <w:r>
        <w:rPr>
          <w:rFonts w:ascii="Times New Roman" w:cs="Times New Roman" w:eastAsia="Times New Roman" w:hAnsi="Times New Roman"/>
          <w:sz w:val="17"/>
          <w:szCs w:val="17"/>
          <w:color w:val="auto"/>
        </w:rPr>
        <w:t>To date, substantially all of our revenue has been derived, and we expect it to continue to be substantially derived, from sales of our robotic systems and our accompanying single-use disposable handpieces and other disposables. Our robotic systems deliver Aquablation therapy, using a heat-free robotically controlled waterjet to remove prostate tissue. We began commercializing our products in the United States in 2017 and physician awareness of, and experience with, our products has been and is currently limited. As a result, our products may have limited product and brand recognition within the medical industry. We do not have a long history operating as a commercial company, and the novelty of our products, together with our limited commercialization experience, makes it difficult to evaluate our current business and predict our future prospects with precision. These factors also make it difficult for us to forecast our financial performance and future growth, and such forecasts are subject to a number of uncertainties, including those outside of our control.</w:t>
      </w:r>
    </w:p>
    <w:p>
      <w:pPr>
        <w:spacing w:after="0" w:line="12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quarterly and annual operating results may fluctuate significantly and may not fully reflect the underlying performance of our business. This makes our future operating results difficult to predict and could cause our operating results to fall below expectations or any guidance we may provide.</w:t>
      </w:r>
    </w:p>
    <w:p>
      <w:pPr>
        <w:spacing w:after="0" w:line="94" w:lineRule="exact"/>
        <w:rPr>
          <w:sz w:val="20"/>
          <w:szCs w:val="20"/>
          <w:color w:val="auto"/>
        </w:rPr>
      </w:pPr>
    </w:p>
    <w:p>
      <w:pPr>
        <w:ind w:right="80" w:firstLine="309"/>
        <w:spacing w:after="0" w:line="258" w:lineRule="auto"/>
        <w:rPr>
          <w:sz w:val="20"/>
          <w:szCs w:val="20"/>
          <w:color w:val="auto"/>
        </w:rPr>
      </w:pPr>
      <w:r>
        <w:rPr>
          <w:rFonts w:ascii="Times New Roman" w:cs="Times New Roman" w:eastAsia="Times New Roman" w:hAnsi="Times New Roman"/>
          <w:sz w:val="17"/>
          <w:szCs w:val="17"/>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operating results may fluctuate significantly as a result of a variety of factors, many of which are outside our control and, as a result, may not fully reflect the underlying performance of our business. Such fluctuations in quarterly and annual operating results may decrease the value of our common stock. Because our quarterly operating results may fluctuate, period-to-period comparisons may not be the best indication of the underlying results of our business and should only be relied upon as one factor in determining how our business is performing. These fluctuations may occur due to a variety of factors, many of which are outside of our control, including, but not limited to:</w:t>
      </w:r>
    </w:p>
    <w:p>
      <w:pPr>
        <w:spacing w:after="0" w:line="128"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surgeon and hospital adoption and demand for our products;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reimbursement rates by government or commercial payors;</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positive or negative coverage in the media or clinical publications, or changes in public, patient and/or physician perception, of our products or competing products and treatments, including our brand reputation;</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of competition in our industry and any change in the competitive landscape, including consolidation among competitors or future partners;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safety, reliability or effectiveness concerns that arise regarding our products or other procedures in which our products are used;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pricing pressures in connection with the sale of our products and downward pressure on healthcare costs in general;</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sales and marketing efforts, including our ability to deploy a sufficient number of qualified sales representatives to sell and market our products;</w:t>
      </w:r>
    </w:p>
    <w:p>
      <w:pPr>
        <w:spacing w:after="0" w:line="99" w:lineRule="exact"/>
        <w:rPr>
          <w:rFonts w:ascii="Times New Roman" w:cs="Times New Roman" w:eastAsia="Times New Roman" w:hAnsi="Times New Roman"/>
          <w:sz w:val="17"/>
          <w:szCs w:val="17"/>
          <w:color w:val="auto"/>
        </w:rPr>
      </w:pPr>
    </w:p>
    <w:p>
      <w:pPr>
        <w:ind w:left="620" w:right="26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delays in product development or product launches;</w:t>
      </w:r>
    </w:p>
    <w:p>
      <w:pPr>
        <w:spacing w:after="0" w:line="165" w:lineRule="exact"/>
        <w:rPr>
          <w:rFonts w:ascii="Times New Roman" w:cs="Times New Roman" w:eastAsia="Times New Roman" w:hAnsi="Times New Roman"/>
          <w:sz w:val="17"/>
          <w:szCs w:val="17"/>
          <w:color w:val="auto"/>
        </w:rPr>
      </w:pPr>
    </w:p>
    <w:p>
      <w:pPr>
        <w:ind w:left="620" w:right="56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our products, which may vary depending on the quantity of production and the terms of our agreements with third-party suppliers;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additional capital on acceptable terms, or at all, if needed to support the commercialization of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and maintain compliance with all regulatory requirements applicable to our products and services;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and enforce our intellectual property rights;</w:t>
      </w:r>
    </w:p>
    <w:p>
      <w:pPr>
        <w:spacing w:after="0" w:line="165"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our third-party suppliers’ ability to supply the components of our products in a timely manner, in accordance with our specifications, and in compliance with applicable regulatory requirements;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technologies or alternative treatments that compete with our products.</w:t>
      </w:r>
    </w:p>
    <w:p>
      <w:pPr>
        <w:spacing w:after="0" w:line="165" w:lineRule="exact"/>
        <w:rPr>
          <w:sz w:val="20"/>
          <w:szCs w:val="20"/>
          <w:color w:val="auto"/>
        </w:rPr>
      </w:pPr>
    </w:p>
    <w:p>
      <w:pPr>
        <w:jc w:val="both"/>
        <w:ind w:right="80" w:firstLine="309"/>
        <w:spacing w:after="0" w:line="270" w:lineRule="auto"/>
        <w:rPr>
          <w:sz w:val="20"/>
          <w:szCs w:val="20"/>
          <w:color w:val="auto"/>
        </w:rPr>
      </w:pPr>
      <w:r>
        <w:rPr>
          <w:rFonts w:ascii="Times New Roman" w:cs="Times New Roman" w:eastAsia="Times New Roman" w:hAnsi="Times New Roman"/>
          <w:sz w:val="17"/>
          <w:szCs w:val="17"/>
          <w:color w:val="auto"/>
        </w:rPr>
        <w:t>The cumulative effects of these factors could result in large fluctuations and unpredictability in our quarterly and annual operating results. If our assumptions regarding the risks and uncertainties we face, which we use to plan our business, are incorrect or change due to circumstances in our business or our markets, or if we do not address these risks successfully, our operating and financial results could deviate materially from our expectations and our business could suffer.</w:t>
      </w:r>
    </w:p>
    <w:p>
      <w:pPr>
        <w:spacing w:after="0" w:line="114" w:lineRule="exact"/>
        <w:rPr>
          <w:sz w:val="20"/>
          <w:szCs w:val="20"/>
          <w:color w:val="auto"/>
        </w:rPr>
      </w:pPr>
    </w:p>
    <w:p>
      <w:pPr>
        <w:jc w:val="both"/>
        <w:ind w:right="60" w:firstLine="309"/>
        <w:spacing w:after="0" w:line="270"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spacing w:after="0" w:line="108"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9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As of December 31, 2025, we had $52.0 million outstanding in the form of a term loan under our loan and security agreement with Canadian Imperial Bank of Commerce, which was entered into in October 2022 and amended in June 2023 and August 2025. The loan is secured by substantially all of our assets, including all of the capital stock held by us, if any. The loan and security agreement contains a number of restrictive covenants, and the terms may restrict our current and future operations, particularly our ability to respond to certain changes in our business or industry, or take future actions. See the section of this Annual Report on Form 10-K titled “Management’s Discussion and Analysis of Financial Condition and Results of Operations—Liquidity and Capital Resources—Indebtedness.”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firstLine="309"/>
        <w:spacing w:after="0" w:line="256" w:lineRule="auto"/>
        <w:rPr>
          <w:sz w:val="20"/>
          <w:szCs w:val="20"/>
          <w:color w:val="auto"/>
        </w:rPr>
      </w:pPr>
      <w:r>
        <w:rPr>
          <w:rFonts w:ascii="Times New Roman" w:cs="Times New Roman" w:eastAsia="Times New Roman" w:hAnsi="Times New Roman"/>
          <w:sz w:val="17"/>
          <w:szCs w:val="17"/>
          <w:color w:val="auto"/>
        </w:rPr>
        <w:t>The loan and security agreement contains customary representations and warranties and affirmative covenants and also contains certain restrictive covenants, including, among others, limitations on: the incurrence of additional debt, liens or other encumbrances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loan and security agreement also includes financial covenants for us to maintain in deposit accounts held at CIBC the lesser of (i) $90.0 million or (ii) all of our non-operating cash or require us to, among other things, either meet certain revenue targets detailed in an approved forecast or maintain a minimum amount of unrestricted cash. The loan and security agreement also contains customary events of default. If we fail to comply with such covenants, payments or other terms of the agreement, our lender could declare an event of default, which would give it the right to declare all borrowings outstanding, together with accrued and unpaid interest and fees, to be immediately due and payable. In addition, our lender would have the right to proceed against the assets we provided as collateral pursuant to the loan and security agreement. If the debt under the loan and security agreement were accelerated, we may not have sufficient cash or be able to sell sufficient assets to repay this debt, which would harm our business and financial condition.</w:t>
      </w:r>
    </w:p>
    <w:p>
      <w:pPr>
        <w:spacing w:after="0" w:line="1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need additional funding to finance our planned operations, and may not be able to raise capital when needed, which could force us to delay, reduce or eliminate one or more of our product development programs and future commercialization efforts.</w:t>
      </w:r>
    </w:p>
    <w:p>
      <w:pPr>
        <w:spacing w:after="0" w:line="94" w:lineRule="exact"/>
        <w:rPr>
          <w:sz w:val="20"/>
          <w:szCs w:val="20"/>
          <w:color w:val="auto"/>
        </w:rPr>
      </w:pPr>
    </w:p>
    <w:p>
      <w:pPr>
        <w:ind w:right="40" w:firstLine="309"/>
        <w:spacing w:after="0" w:line="258" w:lineRule="auto"/>
        <w:rPr>
          <w:sz w:val="20"/>
          <w:szCs w:val="20"/>
          <w:color w:val="auto"/>
        </w:rPr>
      </w:pPr>
      <w:r>
        <w:rPr>
          <w:rFonts w:ascii="Times New Roman" w:cs="Times New Roman" w:eastAsia="Times New Roman" w:hAnsi="Times New Roman"/>
          <w:sz w:val="17"/>
          <w:szCs w:val="17"/>
          <w:color w:val="auto"/>
        </w:rPr>
        <w:t>Since our inception, we have incurred significant net losses and expect to continue to incur net losses for the foreseeable future. Since our inception, our operations have been financed primarily by net proceeds from sales of our equity securities, indebtedness and, to a lesser extent, product revenue from sales of our robotic systems and single-use disposable handpieces. As of December 31, 2025, we had $286.5 million in cash and cash equivalents, and an accumulated deficit of $641.6 million. Based on our current operating plan, we currently believe that our cash and cash equivalents and anticipated revenue will be sufficient to meet our capital requirements and fund our operations through at least the next 12 months. However, we have based these estimates on assumptions that may prove to be wrong, and we could utilize our available capital resources sooner than we currently expect. Changing circumstances could result in lower revenues or cause us to consume capital significantly faster than we currently anticipate, and we may need to raise capital sooner or in greater amounts than currently expected because of circumstances beyond our control.</w:t>
      </w:r>
    </w:p>
    <w:p>
      <w:pPr>
        <w:spacing w:after="0" w:line="124" w:lineRule="exact"/>
        <w:rPr>
          <w:sz w:val="20"/>
          <w:szCs w:val="20"/>
          <w:color w:val="auto"/>
        </w:rPr>
      </w:pPr>
    </w:p>
    <w:p>
      <w:pPr>
        <w:ind w:right="100" w:firstLine="309"/>
        <w:spacing w:after="0" w:line="260" w:lineRule="auto"/>
        <w:rPr>
          <w:sz w:val="20"/>
          <w:szCs w:val="20"/>
          <w:color w:val="auto"/>
        </w:rPr>
      </w:pPr>
      <w:r>
        <w:rPr>
          <w:rFonts w:ascii="Times New Roman" w:cs="Times New Roman" w:eastAsia="Times New Roman" w:hAnsi="Times New Roman"/>
          <w:sz w:val="17"/>
          <w:szCs w:val="17"/>
          <w:color w:val="auto"/>
        </w:rPr>
        <w:t>We may require additional capital in the future as we expect to continue to expand our sales and marketing organization, invest in clinical trials and registries that are designed to provide clinical evidence of the safety and efficacy of our products and research and development of product improvements and future products. Moreover, we expect to continue to incur significant expenses associated with operating as a public company, including legal, accounting, insurance, exchange listing and SEC compliance, investor relations and other expenses. To the extent additional capital is necessary, there are no assurances that we will be able to raise additional capital on favorable terms or at all, and therefore, we may not be able to execute our business plan. Our future funding requirements will depend on many factors, including:</w:t>
      </w:r>
    </w:p>
    <w:p>
      <w:pPr>
        <w:spacing w:after="0" w:line="122"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and rate of market acceptance of our current and future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and timing of investment in our sales force and expansion of our commercial organization;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rate of progress and cost of our current or future clinical trials and registries;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our research and development activities;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additional regulatory clearances or approvals;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any product recall that may occur;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the manufacturing of our products at increased production levels;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attaining, defending and enforcing our intellectual property rights;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acquire third-party companies, products or technologies;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other collaborative, licensing and other arrangements that we may establish;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of competing technologies or other adverse market developments;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at which we expand internationally.</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our prior offerings.</w:t>
      </w:r>
    </w:p>
    <w:p>
      <w:pPr>
        <w:spacing w:after="0" w:line="128" w:lineRule="exact"/>
        <w:rPr>
          <w:sz w:val="20"/>
          <w:szCs w:val="20"/>
          <w:color w:val="auto"/>
        </w:rPr>
      </w:pPr>
    </w:p>
    <w:p>
      <w:pPr>
        <w:ind w:right="220" w:firstLine="309"/>
        <w:spacing w:after="0" w:line="258" w:lineRule="auto"/>
        <w:rPr>
          <w:sz w:val="20"/>
          <w:szCs w:val="20"/>
          <w:color w:val="auto"/>
        </w:rPr>
      </w:pPr>
      <w:r>
        <w:rPr>
          <w:rFonts w:ascii="Times New Roman" w:cs="Times New Roman" w:eastAsia="Times New Roman" w:hAnsi="Times New Roman"/>
          <w:sz w:val="17"/>
          <w:szCs w:val="17"/>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For example, our current loan and security agreement prohibits us from incurring additional indebtedness without the prior written consent of our lender.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24" w:lineRule="exact"/>
        <w:rPr>
          <w:sz w:val="20"/>
          <w:szCs w:val="20"/>
          <w:color w:val="auto"/>
        </w:rPr>
      </w:pPr>
    </w:p>
    <w:p>
      <w:pPr>
        <w:ind w:right="60" w:firstLine="309"/>
        <w:spacing w:after="0" w:line="264" w:lineRule="auto"/>
        <w:rPr>
          <w:sz w:val="20"/>
          <w:szCs w:val="20"/>
          <w:color w:val="auto"/>
        </w:rPr>
      </w:pPr>
      <w:r>
        <w:rPr>
          <w:rFonts w:ascii="Times New Roman" w:cs="Times New Roman" w:eastAsia="Times New Roman" w:hAnsi="Times New Roman"/>
          <w:sz w:val="17"/>
          <w:szCs w:val="17"/>
          <w:color w:val="auto"/>
        </w:rPr>
        <w:t>If we are unable to obtain adequate financing on terms satisfactory to us when we require it, we may be required to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commercial success of our products will depend upon the degree of market acceptance of our products among hospitals, surgeons and patients.</w:t>
      </w:r>
    </w:p>
    <w:p>
      <w:pPr>
        <w:spacing w:after="0" w:line="171"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Our success will depend, in large part, on the acceptance of our products as safe, effective, reliable and durable and, with respect to hospitals, healthcare providers and patients, as cost-effective. Our products employ a computer-assisted patient-specific visualization system, a heat-free waterjet and an automated robotic system to target and remove prostate tissue. We believe that market acceptance will be driven primarily by surgeons and hospitals, and if they do not adopt the concept of computer-assisted robotics-enabled technology and perceive such technology as having significant advantages over other surgical alternatives, patients will be less likely to accept or be offered treatment utilizing our products and we will fail to meet our business objectives. Surgeons’ and hospitals’ perceptions of such technology having significant advantages are likely to be based on a determination that, among other factors, our products are safe, cost-effective and represent acceptable methods of treatment. Even if we can prove the effectiveness of treatment utilizing our products through clinical trials, there may not be broad adoption and use of our products and surgeons may elect not to use our products for any number of other reasons, including:</w:t>
      </w:r>
    </w:p>
    <w:p>
      <w:pPr>
        <w:spacing w:after="0" w:line="124"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experience with our products and concerns that we are relatively new to market;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liability risk generally associated with the use of new products and treatment options;</w:t>
      </w:r>
    </w:p>
    <w:p>
      <w:pPr>
        <w:spacing w:after="0" w:line="165"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or perceived lack of sufficient clinical evidence, including long-term data, supporting clinical benefits or the cost-effectiveness of our products over existing treatment alternatives;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key opinion leaders to provide recommendations regarding our products, or to assure surgeons, patients and healthcare payors of the benefits of our products as an attractive alternative to other treatment options;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perception that our products are unproven;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long-standing relationships with companies and distributors that sell other products or treatment options;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concerns over the capital investment required to purchase our robotic systems and perform procedures utilizing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availability of adequate third-party payor coverage or reimbursement;</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80" w:hanging="307"/>
        <w:spacing w:after="0" w:line="287"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pressure, including from group purchasing organizations, or GPOs, and integrated delivery networks, or IDNs, seeking to obtain discounts on our robotic systems based on the collective buying power of the GPO and IDN members;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response and negative selling efforts from providers of alternative treatments;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the labeling cleared or approved by the FDA or other authorities.</w:t>
      </w:r>
    </w:p>
    <w:p>
      <w:pPr>
        <w:spacing w:after="0" w:line="165"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Even if our products achieve widespread market acceptance, they may not maintain such level of market acceptance over the long term if competing products or technologies, which are more cost-effective or received more favorably, are introduced. In addition, our limited commercialization experience makes it difficult to evaluate our current business and predict our future prospects. We cannot predict how quickly, if at all, hospitals, surgeons and patients will accept our products, or, if accepted, how frequently it will be used. Failure to achieve or maintain market acceptance and/or market share could materially and adversely affect our ability to generate revenue and would have a material adverse effect on our business, financial condition and results of operations.</w:t>
      </w:r>
    </w:p>
    <w:p>
      <w:pPr>
        <w:spacing w:after="0" w:line="117"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in training and marketing and selling our products and we may provide inadequate training, fail to increase our sales and marketing capabilities or fail to develop and maintain broad brand awareness in a cost-effective manner.</w:t>
      </w:r>
    </w:p>
    <w:p>
      <w:pPr>
        <w:spacing w:after="0" w:line="94" w:lineRule="exact"/>
        <w:rPr>
          <w:sz w:val="20"/>
          <w:szCs w:val="20"/>
          <w:color w:val="auto"/>
        </w:rPr>
      </w:pPr>
    </w:p>
    <w:p>
      <w:pPr>
        <w:ind w:right="80" w:firstLine="309"/>
        <w:spacing w:after="0" w:line="260" w:lineRule="auto"/>
        <w:rPr>
          <w:sz w:val="20"/>
          <w:szCs w:val="20"/>
          <w:color w:val="auto"/>
        </w:rPr>
      </w:pPr>
      <w:r>
        <w:rPr>
          <w:rFonts w:ascii="Times New Roman" w:cs="Times New Roman" w:eastAsia="Times New Roman" w:hAnsi="Times New Roman"/>
          <w:sz w:val="17"/>
          <w:szCs w:val="17"/>
          <w:color w:val="auto"/>
        </w:rPr>
        <w:t>We have limited experience marketing and selling our products. We currently rely on our direct sales force and distributors to sell our products in targeted geographic regions and territories, and any failure to maintain and grow our direct sales force and distributor relationships could harm our business. The members of our direct sales force are adequately trained and possess technical expertise, which we believe is critical in driving the awareness and adoption of our products. The members of our direct U.S. sales force are at-will employees. The loss of these personnel to competitors, or otherwise, could materially harm our business. If we are unable to retain our direct sales force personnel or replace them with individuals of comparable expertise and qualifications, or if we are unable to successfully instill such expertise in replacement personnel, our product sales, revenues and results of operations could be materially harmed.</w:t>
      </w:r>
    </w:p>
    <w:p>
      <w:pPr>
        <w:spacing w:after="0" w:line="122"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In order to generate future growth, we plan to continue to significantly expand and leverage our commercial infrastructure to increase our customer base and increase awareness and adoption by existing customers to drive our growth. Identifying and recruiting qualified sales and marketing professionals and training them on our products and our procedures, on applicable federal and state laws and regulations and on our internal policies and procedures requires significant time, expense and attention. It can take several months or more before a sales representative is fully trained and productive. Our sales force may subject us to higher fixed costs than those of companies with competing products or treatments that can utilize independent third parties, placing us at a competitive disadvantage. Our business may be harmed if our efforts to expand and train our sales force do not generate a corresponding increase in product sales and revenue, and our higher fixed costs may slow our ability to reduce costs in the face of a sudden decline in demand for our products. Any failure to hire, develop and retain talented sales personnel, to achieve desired productivity levels in a reasonable period of time or timely reduce fixed costs, could have material adverse effect on our business, financial condition and results of operations.</w:t>
      </w:r>
    </w:p>
    <w:p>
      <w:pPr>
        <w:spacing w:after="0" w:line="127"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and educational programs. Our business may be harmed if these efforts and expenditures do not generate a corresponding increase in revenue. In addition, we believe that developing and maintaining broad awareness of our products in a cost-effective manner is critical to achieving broad acceptance of our products and reaching new physicians, hospitals and patients. Promotion and educational activities may not generate hospital or surgeon awareness or increase revenue, and even if they do, any increase in revenue may not offset the costs and expenses we incur. If we fail to successfully promote our products in a cost-effective manner, we may fail to attract or retain the market acceptance necessary to realize a sufficient return on our promotional and educational efforts, or to achieve broad adoption of our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third-party distributors to effectively distribute our products in certain markets.</w:t>
      </w:r>
    </w:p>
    <w:p>
      <w:pPr>
        <w:spacing w:after="0" w:line="171" w:lineRule="exact"/>
        <w:rPr>
          <w:sz w:val="20"/>
          <w:szCs w:val="20"/>
          <w:color w:val="auto"/>
        </w:rPr>
      </w:pPr>
    </w:p>
    <w:p>
      <w:pPr>
        <w:ind w:right="80" w:firstLine="309"/>
        <w:spacing w:after="0" w:line="264" w:lineRule="auto"/>
        <w:rPr>
          <w:sz w:val="20"/>
          <w:szCs w:val="20"/>
          <w:color w:val="auto"/>
        </w:rPr>
      </w:pPr>
      <w:r>
        <w:rPr>
          <w:rFonts w:ascii="Times New Roman" w:cs="Times New Roman" w:eastAsia="Times New Roman" w:hAnsi="Times New Roman"/>
          <w:sz w:val="17"/>
          <w:szCs w:val="17"/>
          <w:color w:val="auto"/>
        </w:rPr>
        <w:t>We depend, or expect to depend in the future, on qualified distributors for the marketing and selling of our products in certain markets. If our distributors fail to effectively market and sell our products in full compliance with applicable laws, our operating results and business may suffer. Screening, recruiting and retaining qualified third-party distributors and training them in our technology and product offering and business practices requires significant time and resources. To develop and expand our distribution, we may be required to scale and improve our processes and procedures that support</w:t>
      </w: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our distributors. Further, if our relationship with a successful distributor terminates, we may be unable to replace that distributor without disruption to our business. If we fail to develop or maintain positive relationships with our distributors, including in new markets, fail to manage, train or incentivize these distributors effectively, or fail to provide distributors with competitive products on attractive terms, or if these distributors are not successful in their sales efforts, we may not achieve expected revenues or may have a reduction in revenue and our operating results, reputation and business would be harmed.</w:t>
      </w:r>
    </w:p>
    <w:p>
      <w:pPr>
        <w:spacing w:after="0" w:line="114"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maintain adequate levels of third-party coverage and reimbursement, and third parties may rescind or modify their coverage or delay payments related to our products.</w:t>
      </w:r>
    </w:p>
    <w:p>
      <w:pPr>
        <w:spacing w:after="0" w:line="94" w:lineRule="exact"/>
        <w:rPr>
          <w:sz w:val="20"/>
          <w:szCs w:val="20"/>
          <w:color w:val="auto"/>
        </w:rPr>
      </w:pPr>
    </w:p>
    <w:p>
      <w:pPr>
        <w:ind w:right="320" w:firstLine="309"/>
        <w:spacing w:after="0" w:line="261" w:lineRule="auto"/>
        <w:rPr>
          <w:sz w:val="20"/>
          <w:szCs w:val="20"/>
          <w:color w:val="auto"/>
        </w:rPr>
      </w:pPr>
      <w:r>
        <w:rPr>
          <w:rFonts w:ascii="Times New Roman" w:cs="Times New Roman" w:eastAsia="Times New Roman" w:hAnsi="Times New Roman"/>
          <w:sz w:val="17"/>
          <w:szCs w:val="17"/>
          <w:color w:val="auto"/>
        </w:rPr>
        <w:t>We derive the majority of our revenue from sales of our robotic systems and single-use disposable handpieces to our customers. Sales of our products will depend, in part, on the extent to which the procedures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 is profitable for the provider. As a result, maintaining access to adequate coverage and reimbursement for our products by third-party payors is essential to the acceptance and adoption of our products.</w:t>
      </w:r>
    </w:p>
    <w:p>
      <w:pPr>
        <w:spacing w:after="0" w:line="123"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Coverage and reimbursement by governmental and third-party payors may depend upon a number of factors, including the determination that the product or service and its use or administration for a particular patient is:</w:t>
      </w:r>
    </w:p>
    <w:p>
      <w:pPr>
        <w:spacing w:after="0" w:line="100"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supported by guidelines established by the relevant professional societies;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165" w:lineRule="exact"/>
        <w:rPr>
          <w:sz w:val="20"/>
          <w:szCs w:val="20"/>
          <w:color w:val="auto"/>
        </w:rPr>
      </w:pPr>
    </w:p>
    <w:p>
      <w:pPr>
        <w:ind w:right="120" w:firstLine="309"/>
        <w:spacing w:after="0" w:line="264" w:lineRule="auto"/>
        <w:rPr>
          <w:sz w:val="20"/>
          <w:szCs w:val="20"/>
          <w:color w:val="auto"/>
        </w:rPr>
      </w:pPr>
      <w:r>
        <w:rPr>
          <w:rFonts w:ascii="Times New Roman" w:cs="Times New Roman" w:eastAsia="Times New Roman" w:hAnsi="Times New Roman"/>
          <w:sz w:val="17"/>
          <w:szCs w:val="17"/>
          <w:color w:val="auto"/>
        </w:rPr>
        <w:t>Our end user customers typically bill third-party payors for the costs and fees associated with the procedures in which our products are used. Any decline in the amount payors are willing to reimburse, could make it difficult for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120"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using our products exists among third-party payors. Therefore, coverage and reimbursement for procedures using our products can differ significantly from payor to payor. Obtaining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w:t>
      </w:r>
    </w:p>
    <w:p>
      <w:pPr>
        <w:spacing w:after="0" w:line="122"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7"/>
          <w:szCs w:val="17"/>
          <w:color w:val="auto"/>
        </w:rPr>
        <w:t>Payors continually review new and existing technologies for possible coverage and can, without notice, deny or reverse coverage for new or existing products and procedures. There can be no assurance that third-party payor policies will provide or maintain coverage for procedures in which our products are used. When our products and the related procedures are reimbursed, they are reimbursed primarily on a per-patient prior authorization basis for patients covered by commercial insurers.</w:t>
      </w:r>
    </w:p>
    <w:p>
      <w:pPr>
        <w:spacing w:after="0" w:line="120"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Further, we believe that future coverage and reimbursement may be subject to increased restrictions, such as additional prior authorization requirements, both in the United States and in relevant international markets in which we plan to operate. If Medicare no longer covers any of our products, there would be a material adverse effect on our business, financial condition and results of operations. In addition, Medicare Administrative Contractors could revise existing local coverage determination decisions that could restrict the patients eligible for the treatment with our products or in another manner unfavorable to our business. Third-party coverage and reimbursement for procedures using our products or any of our products in development for which we may receive regulatory clearance or approval may not be available or adequate</w:t>
      </w: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 either the United States or international markets. Further, other treatments may be more widely covered or subject to different co-pay policies and requirements, which could impact demand for our products. If hospital, surgeon and/or patient demand for our products is adversely affected by changes in third-party reimbursement policies and decisions, it could have a material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competition from many sources, including larger companies, and we may be unable to compete successfully.</w:t>
      </w:r>
    </w:p>
    <w:p>
      <w:pPr>
        <w:spacing w:after="0" w:line="171"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The medical device industry is highly competitive, subject to rapid change and significantly affected by the introduction of new products and technologies and other activities of industry participants. We compete with pharmaceutical products, and with medical device companies that manufacture resective or non-resective surgical alternatives for treating to our products. Resective alternatives for treating BPH include devices for the TURP procedure, laser-based therapies and simple prostatectomy, each of which is intended to remove the prostate tissue, and non-resective alternatives such as UroLift marketed by Teleflex Incorporated and Rezum marketed by Boston Scientific Corporation, which are intended to reshape the prostate and widen the cavity. Our primary medical device competitors for treating BPH are Boston Scientific Corporation and smaller companies that have single products or a limited range of products. Moreover, other products that are in current clinical trials, new drugs or additional indications for existing drugs could demonstrate better safety, effectiveness, clinical results, lower costs or greater physician and market acceptance than our products. . If we are successful in obtaining regulatory clearance for the use of our products and Aquablation therapy for patients with prostate cancer, we expect we will be competing with additional companies.</w:t>
      </w:r>
    </w:p>
    <w:p>
      <w:pPr>
        <w:spacing w:after="0" w:line="127"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114"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treatment patterns pursuant to which drugs are generally first-line or concurrent therapies;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relationships with hospitals and physicians who are familiar with other surgical alternatives;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financial and human capital resources;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significantly greater name recognition;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lines of products, and the ability to offer rebates or bundle products to offer greater discounts or incentives to gain a competitive advantage;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sales, marketing and worldwide distribution networks.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continued success depends on our ability to:</w:t>
      </w:r>
    </w:p>
    <w:p>
      <w:pPr>
        <w:spacing w:after="0" w:line="165"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 outcomes for patients;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product safety, efficacy, reliability and durability;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the quality and volume of our clinical data;</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market to and educate patients, physicians and hospitals;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company, product and brand recognition;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broaden our sales force experience and access;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product support and service;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widen our technology lead over competitors by continuing to innovate and deliver new product enhancements on a continuous basis;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successful pricing and revenue strategies;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maintain and expand reimbursement coverage for procedures using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desired regulatory status and speed to market;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dedicated clinical representatives.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40" w:firstLine="232"/>
        <w:spacing w:after="0" w:line="261" w:lineRule="auto"/>
        <w:rPr>
          <w:sz w:val="20"/>
          <w:szCs w:val="20"/>
          <w:color w:val="auto"/>
        </w:rPr>
      </w:pPr>
      <w:r>
        <w:rPr>
          <w:rFonts w:ascii="Times New Roman" w:cs="Times New Roman" w:eastAsia="Times New Roman" w:hAnsi="Times New Roman"/>
          <w:sz w:val="17"/>
          <w:szCs w:val="17"/>
          <w:color w:val="auto"/>
        </w:rPr>
        <w:t>One of the major hurdles to adoption of our products will be overcoming established treatment patterns, which will require education of surgeons and supportive clinical data. However, because of the size of the market opportunity for the treatment of BPH as well as the treatment of prostate cancer, we believe current and potential future competitors will dedicate significant resources to aggressively promote their products or develop new products or treatments. New treatment options may be developed that could compete more effectively with our products due to the research and technological progress that exist within the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continue to innovate and improve our products, we could lose customers or market share.</w:t>
      </w:r>
    </w:p>
    <w:p>
      <w:pPr>
        <w:spacing w:after="0" w:line="171"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Our success will depend on our ability to keep ahead of innovative developments in the treatment of BPH. It is critical to our competitiveness that we continue to innovate and make improvements to our products’ functionality and efficiency. If we fail to make improvements to our robotic systems’ functionality over time, our competitors may develop products that offer features and functionality similar or superior to those of our products. If we fail to make improvements to our products’ efficiency, our competitors may develop products that are more cost-effective than ours. Our failure to make continuous improvements to our products to keep ahead of the products of our competitors could result in the loss of customers or market share that would adversely affect our business, results of operations, and financial condition.</w:t>
      </w:r>
    </w:p>
    <w:p>
      <w:pPr>
        <w:spacing w:after="0" w:line="116"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manufacturing our products in large-scale commercial quantities, and we face a number of manufacturing risks that may adversely affect our manufacturing abilities which could delay, prevent or impair our growth.</w:t>
      </w:r>
    </w:p>
    <w:p>
      <w:pPr>
        <w:spacing w:after="0" w:line="94"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Our growth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in our current manufacturing facility or any future manufacturing facilities. Currently, we have a sole manufacturing facility located in San Jose, California, where we manufacture, assemble, inspect, test, package and ship our products. We currently assemble all of our robotic systems and single-use disposable handpieces at this one facility. If this facility, or any of our future manufacturing facilities, suffers damage, or a force majeure event were to occur, such damage or event could materially impact our ability to operate, which could materially and adversely affect our business and financial performance.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also subject to numerous other risks relating to our manufacturing capabilities, including:</w:t>
      </w:r>
    </w:p>
    <w:p>
      <w:pPr>
        <w:spacing w:after="0" w:line="165" w:lineRule="exact"/>
        <w:rPr>
          <w:sz w:val="20"/>
          <w:szCs w:val="20"/>
          <w:color w:val="auto"/>
        </w:rPr>
      </w:pPr>
    </w:p>
    <w:p>
      <w:pPr>
        <w:ind w:left="620" w:right="52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and reliability of components, sub-assemblies and materials that we source from third-party suppliers, who are required to meet our quality specifications, almost all of whom are single source suppliers for the items and materials that they supply;</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secure components, sub-assemblies and materials in a timely manner, in sufficient quantities or on commercially reasonable terms;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compliance with quality system requirements or pass regulatory quality inspections;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increase production capacity or volumes to meet demand;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risks associated with disruptions in our supply chain, such as on account of geopolitical or macroeconomic events;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times associated with securing key components;</w:t>
      </w:r>
    </w:p>
    <w:p>
      <w:pPr>
        <w:spacing w:after="0" w:line="165" w:lineRule="exact"/>
        <w:rPr>
          <w:rFonts w:ascii="Times New Roman" w:cs="Times New Roman" w:eastAsia="Times New Roman" w:hAnsi="Times New Roman"/>
          <w:sz w:val="17"/>
          <w:szCs w:val="17"/>
          <w:color w:val="auto"/>
        </w:rPr>
      </w:pPr>
    </w:p>
    <w:p>
      <w:pPr>
        <w:ind w:left="620" w:right="32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design or modify production processes to enable us to produce future products efficiently or implement changes in current products in response to design or regulatory requirements;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identifying and qualifying, and obtaining new regulatory approvals, for alternative suppliers for components in a timely manner.</w:t>
      </w:r>
    </w:p>
    <w:p>
      <w:pPr>
        <w:spacing w:after="0" w:line="165"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These risks are likely to be exacerbated by our limited experience with our current products and manufacturing processes. As demand for our products increases, we will have to invest additional resources to purchase components, sub-assemblies and materials, hire and train employees and enhance our manufacturing processes. If we fail to increase our production capacity efficiently, we may not be able to fill customer orders on a timely basis, our sales may not increase in line with our expectations and our operating margins could fluctuate or decline. In addition, although some future products may share product features, components, sub-assemblies and materials with our existing products, the manufacture of these products may require modification of our current production processes or unique production processes, the hiring of specialized employees, the identification of new suppliers for specific components, sub-assemblies and materials or the</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development of new manufacturing technologies. It may not be possible for us to manufacture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185"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107" w:lineRule="exact"/>
        <w:rPr>
          <w:sz w:val="20"/>
          <w:szCs w:val="20"/>
          <w:color w:val="auto"/>
        </w:rPr>
      </w:pPr>
    </w:p>
    <w:p>
      <w:pPr>
        <w:ind w:firstLine="309"/>
        <w:spacing w:after="0" w:line="245" w:lineRule="auto"/>
        <w:rPr>
          <w:sz w:val="20"/>
          <w:szCs w:val="20"/>
          <w:color w:val="auto"/>
        </w:rPr>
      </w:pPr>
      <w:r>
        <w:rPr>
          <w:rFonts w:ascii="Times New Roman" w:cs="Times New Roman" w:eastAsia="Times New Roman" w:hAnsi="Times New Roman"/>
          <w:sz w:val="17"/>
          <w:szCs w:val="17"/>
          <w:color w:val="auto"/>
        </w:rPr>
        <w:t>We rely on third-party suppliers, almost all of whom are single source suppliers, to provide us with certain components, sub-assemblies and materials for our products. These components, sub-assemblies and materials are critical, and, for certain items, there are relatively few alternative sources of supply. These single source suppliers may be unwilling or unable to supply the necessary materials and components or manufacture and assemble our products in a reliable manner and at the levels we anticipate or at levels adequate to satisfy demand for our products. While our suppliers have generally met our demand for their products and services on a timely basis in the past, we cannot guarantee that they will in the future be able to meet our demand for such products, either because of acts of nature, the nature of our agreements with those suppliers or our relative importance to them as a customer, and our suppliers may decide in the future to discontinue or reduce the level of business they conduct with us. Further, we maintain limited volumes of inventory from most of our suppliers and contract manufacturers. If we inaccurately forecast demand for finished goods, we may be unable to meet customer demand which could harm our competitive position and reputation.</w:t>
      </w:r>
    </w:p>
    <w:p>
      <w:pPr>
        <w:spacing w:after="0" w:line="337"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We have not been qualified or obtained necessary regulatory approvals for additional suppliers for most of these components, sub-assemblies and materials. While we currently believe that alternative sources of supply or sterilization may be available, we cannot be certain whether they will be available if and when we need them, or that any alternative suppliers or providers would be able to provide the quantity and quality of components, materials and sterilization that we would need to manufacture and ship our products if our existing suppliers and providers were unable to satisfy our requirements. To utilize other sources, we would need to identify and qualify new providers to our quality standards and obtain any additional regulatory approvals required to change providers, which could result in manufacturing delays and increase our expenses.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dependence on third-parties subjects us to a number of risks that could impact our ability to manufacture our products and harm our business, including:</w:t>
      </w:r>
    </w:p>
    <w:p>
      <w:pPr>
        <w:spacing w:after="0" w:line="165"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supply or sterilization resulting from modifications to, or discontinuation of, a third party’s operations;</w:t>
      </w:r>
    </w:p>
    <w:p>
      <w:pPr>
        <w:spacing w:after="0" w:line="165" w:lineRule="exact"/>
        <w:rPr>
          <w:rFonts w:ascii="Times New Roman" w:cs="Times New Roman" w:eastAsia="Times New Roman" w:hAnsi="Times New Roman"/>
          <w:sz w:val="17"/>
          <w:szCs w:val="17"/>
          <w:color w:val="auto"/>
        </w:rPr>
      </w:pPr>
    </w:p>
    <w:p>
      <w:pPr>
        <w:ind w:left="620" w:right="880" w:hanging="30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product shipments resulting from uncorrected defects, reliability issues or a third party’s failure to produce components or complete sterilizations that consistently meet our quality specifications;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fluctuations due to a lack of long-term supply arrangements with our third parties for key components or sterilization requirements;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adequate supply or services in a timely manner or on commercially reasonable terms;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identifying and qualifying alternative third parties for the supply of components or for sterilization of our products in a timely manner;</w:t>
      </w:r>
    </w:p>
    <w:p>
      <w:pPr>
        <w:spacing w:after="0" w:line="165" w:lineRule="exact"/>
        <w:rPr>
          <w:rFonts w:ascii="Times New Roman" w:cs="Times New Roman" w:eastAsia="Times New Roman" w:hAnsi="Times New Roman"/>
          <w:sz w:val="17"/>
          <w:szCs w:val="17"/>
          <w:color w:val="auto"/>
        </w:rPr>
      </w:pPr>
    </w:p>
    <w:p>
      <w:pPr>
        <w:ind w:left="620" w:right="60" w:hanging="30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of third parties to comply with applicable provisions of the FDA’s Quality Management System Regulations, or QMSR, or other applicable laws or regulations enforced by the FDA, state and global regulatory authorities;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ensure the quality of products manufactured or sterilization conducted by third parties;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delays related to the evaluation and testing of products and services from alternative third parties and corresponding regulatory qualifications;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towards consolidation within the medical device manufacturing supplier industry;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delivery by our suppliers and service providers.</w:t>
      </w:r>
    </w:p>
    <w:p>
      <w:pPr>
        <w:spacing w:after="0" w:line="165" w:lineRule="exact"/>
        <w:rPr>
          <w:sz w:val="20"/>
          <w:szCs w:val="20"/>
          <w:color w:val="auto"/>
        </w:rPr>
      </w:pPr>
    </w:p>
    <w:p>
      <w:pPr>
        <w:jc w:val="both"/>
        <w:ind w:right="60" w:firstLine="309"/>
        <w:spacing w:after="0" w:line="270" w:lineRule="auto"/>
        <w:rPr>
          <w:sz w:val="20"/>
          <w:szCs w:val="20"/>
          <w:color w:val="auto"/>
        </w:rPr>
      </w:pPr>
      <w:r>
        <w:rPr>
          <w:rFonts w:ascii="Times New Roman" w:cs="Times New Roman" w:eastAsia="Times New Roman" w:hAnsi="Times New Roman"/>
          <w:sz w:val="17"/>
          <w:szCs w:val="17"/>
          <w:color w:val="auto"/>
        </w:rPr>
        <w:t>Although we require our third-party suppliers and providers to supply us with components and services that meet our specifications and other applicable legal and regulatory requirements in our agreements and contracts, and we perform incoming inspection, testing or other acceptance activities to ensure the components meet our requirements, there is a risk</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5" w:name="page36"/>
    <w:bookmarkEnd w:id="35"/>
    <w:p>
      <w:pPr>
        <w:ind w:left="8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0"/>
        <w:spacing w:after="0" w:line="287" w:lineRule="auto"/>
        <w:rPr>
          <w:sz w:val="20"/>
          <w:szCs w:val="20"/>
          <w:color w:val="auto"/>
        </w:rPr>
      </w:pPr>
      <w:r>
        <w:rPr>
          <w:rFonts w:ascii="Times New Roman" w:cs="Times New Roman" w:eastAsia="Times New Roman" w:hAnsi="Times New Roman"/>
          <w:sz w:val="17"/>
          <w:szCs w:val="17"/>
          <w:color w:val="auto"/>
        </w:rPr>
        <w:t>that these third parties will not always act consistent with our best interests, and may not always supply components or provide services that meet our requirements or in a timely manner.</w:t>
      </w:r>
    </w:p>
    <w:p>
      <w:pPr>
        <w:spacing w:after="0" w:line="94" w:lineRule="exact"/>
        <w:rPr>
          <w:sz w:val="20"/>
          <w:szCs w:val="20"/>
          <w:color w:val="auto"/>
        </w:rPr>
      </w:pPr>
    </w:p>
    <w:p>
      <w:pPr>
        <w:ind w:left="80" w:right="8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receive a significant number of warranty claims or our products require significant amounts of service after sale, our operating expenses may substantially increase, and our business and financial results will be adversely affected.</w:t>
      </w:r>
    </w:p>
    <w:p>
      <w:pPr>
        <w:spacing w:after="0" w:line="94" w:lineRule="exact"/>
        <w:rPr>
          <w:sz w:val="20"/>
          <w:szCs w:val="20"/>
          <w:color w:val="auto"/>
        </w:rPr>
      </w:pPr>
    </w:p>
    <w:p>
      <w:pPr>
        <w:ind w:left="80" w:right="20" w:firstLine="232"/>
        <w:spacing w:after="0" w:line="257" w:lineRule="auto"/>
        <w:rPr>
          <w:sz w:val="20"/>
          <w:szCs w:val="20"/>
          <w:color w:val="auto"/>
        </w:rPr>
      </w:pPr>
      <w:r>
        <w:rPr>
          <w:rFonts w:ascii="Times New Roman" w:cs="Times New Roman" w:eastAsia="Times New Roman" w:hAnsi="Times New Roman"/>
          <w:sz w:val="17"/>
          <w:szCs w:val="17"/>
          <w:color w:val="auto"/>
        </w:rPr>
        <w:t>We typically warrant our robotic systems against defects in materials and workmanship for a period of approximately 12 months from the installation of our products at a customer location or in some cases from the delivery of our products. We also expect to continue to provide technical and other services to customers beyond the warranty period pursuant to a supplemental service plan that we sell for our robotic systems. Additionally, we warrant our disposable products against defects in materials and workmanship for a period of approximately 12 months from delivery. We have a limited history of commercial placements from which to judge our rate of warranty claims, and we expect that the number of warranty claims we receive may increase as we scale our operations and as our existing commercial placements age. If product returns or warranty claims are significant or exceed our expectations, we could incur unanticipated reductions in sales or additional operating expenditures for parts and service. In addition, our reputation could be damaged, and our products may not achieve the level of market acceptance that we are targeting in order to achieve and maintain profitability. Unforeseen warranty exposure could negatively impact our business and financial results.</w:t>
      </w:r>
    </w:p>
    <w:p>
      <w:pPr>
        <w:spacing w:after="0" w:line="1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We need to ensure strong product performance and reliability to maintain and grow our business.</w:t>
      </w:r>
    </w:p>
    <w:p>
      <w:pPr>
        <w:spacing w:after="0" w:line="171" w:lineRule="exact"/>
        <w:rPr>
          <w:sz w:val="20"/>
          <w:szCs w:val="20"/>
          <w:color w:val="auto"/>
        </w:rPr>
      </w:pPr>
    </w:p>
    <w:p>
      <w:pPr>
        <w:ind w:left="80" w:right="40" w:firstLine="309"/>
        <w:spacing w:after="0" w:line="261" w:lineRule="auto"/>
        <w:rPr>
          <w:sz w:val="20"/>
          <w:szCs w:val="20"/>
          <w:color w:val="auto"/>
        </w:rPr>
      </w:pPr>
      <w:r>
        <w:rPr>
          <w:rFonts w:ascii="Times New Roman" w:cs="Times New Roman" w:eastAsia="Times New Roman" w:hAnsi="Times New Roman"/>
          <w:sz w:val="17"/>
          <w:szCs w:val="17"/>
          <w:color w:val="auto"/>
        </w:rPr>
        <w:t>We need to maintain and continuously improve the performance and reliability of our products to achieve our profitability objectives. Poor product performance and reliability could lead to customer dissatisfaction, adversely affect our reputation and revenues, and increase our service and distribution costs and working capital requirements. In addition, software and hardware incorporated into our robotic systems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achieve or maintain satisfactory pricing and margins for our products.</w:t>
      </w:r>
    </w:p>
    <w:p>
      <w:pPr>
        <w:spacing w:after="0" w:line="236" w:lineRule="exact"/>
        <w:rPr>
          <w:sz w:val="20"/>
          <w:szCs w:val="20"/>
          <w:color w:val="auto"/>
        </w:rPr>
      </w:pPr>
    </w:p>
    <w:p>
      <w:pPr>
        <w:ind w:left="80" w:right="20" w:firstLine="309"/>
        <w:spacing w:after="0" w:line="243" w:lineRule="auto"/>
        <w:rPr>
          <w:sz w:val="20"/>
          <w:szCs w:val="20"/>
          <w:color w:val="auto"/>
        </w:rPr>
      </w:pPr>
      <w:r>
        <w:rPr>
          <w:rFonts w:ascii="Times New Roman" w:cs="Times New Roman" w:eastAsia="Times New Roman" w:hAnsi="Times New Roman"/>
          <w:sz w:val="17"/>
          <w:szCs w:val="17"/>
          <w:color w:val="auto"/>
        </w:rPr>
        <w:t>Manufacturers of medical devices have a history of price competition, and we can give no assurance that we will be able to achieve satisfactory prices for our current or any new products or maintain prices at the levels we have historically achieved. Any decline in the amount that payors reimburse our customers for our products could make it difficult for customers to continue using, or to adopt, our products and could create additional pricing pressure for us. If we are forced to lower the price we charge for our products, or if we add more components to our systems, our gross margins will decrease, which will adversely affect our ability to invest in and grow our business. If we are unable to maintain our prices, including during any international expansion, or if our costs increase and we are unable to offset such increase with an increase in our prices, our margins could erode. We will continue to be subject to significant pricing pressure, which could harm negatively affect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encounter difficulties in managing our growth, which could disrupt our operations.</w:t>
      </w:r>
    </w:p>
    <w:p>
      <w:pPr>
        <w:spacing w:after="0" w:line="171" w:lineRule="exact"/>
        <w:rPr>
          <w:sz w:val="20"/>
          <w:szCs w:val="20"/>
          <w:color w:val="auto"/>
        </w:rPr>
      </w:pPr>
    </w:p>
    <w:p>
      <w:pPr>
        <w:ind w:left="80" w:right="40" w:firstLine="309"/>
        <w:spacing w:after="0" w:line="258" w:lineRule="auto"/>
        <w:rPr>
          <w:sz w:val="20"/>
          <w:szCs w:val="20"/>
          <w:color w:val="auto"/>
        </w:rPr>
      </w:pPr>
      <w:r>
        <w:rPr>
          <w:rFonts w:ascii="Times New Roman" w:cs="Times New Roman" w:eastAsia="Times New Roman" w:hAnsi="Times New Roman"/>
          <w:sz w:val="17"/>
          <w:szCs w:val="17"/>
          <w:color w:val="auto"/>
        </w:rPr>
        <w:t>We have experienced substantial growth in our operations, and we expect to experience continued substantial growth in our business. Over the next several years, we expect to increase significantly the scope of our operations, particularly in the areas of manufacturing, sales and support, research and development, product development, regulatory affairs, marketing and other functional areas, including finance, accounting, quality control, and legal.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22" w:lineRule="exact"/>
        <w:rPr>
          <w:sz w:val="20"/>
          <w:szCs w:val="20"/>
          <w:color w:val="auto"/>
        </w:rPr>
      </w:pPr>
    </w:p>
    <w:p>
      <w:pPr>
        <w:ind w:left="80"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will be materially harmed if we are unable to accurately forecast customer demand for, and utilization of, our products and manage our inventory.</w:t>
      </w:r>
    </w:p>
    <w:p>
      <w:pPr>
        <w:spacing w:after="0" w:line="94" w:lineRule="exact"/>
        <w:rPr>
          <w:sz w:val="20"/>
          <w:szCs w:val="20"/>
          <w:color w:val="auto"/>
        </w:rPr>
      </w:pPr>
    </w:p>
    <w:p>
      <w:pPr>
        <w:ind w:left="80" w:firstLine="309"/>
        <w:spacing w:after="0" w:line="261" w:lineRule="auto"/>
        <w:rPr>
          <w:sz w:val="20"/>
          <w:szCs w:val="20"/>
          <w:color w:val="auto"/>
        </w:rPr>
      </w:pPr>
      <w:r>
        <w:rPr>
          <w:rFonts w:ascii="Times New Roman" w:cs="Times New Roman" w:eastAsia="Times New Roman" w:hAnsi="Times New Roman"/>
          <w:sz w:val="17"/>
          <w:szCs w:val="17"/>
          <w:color w:val="auto"/>
        </w:rPr>
        <w:t>To ensure adequate inventory supply, we must forecast inventory needs and manufacture our robotic systems console and the single-use disposable handpieces based on our estimates of future demand for, and utilization of, our robotic systems. Our ability to accurately forecast demand and utilization could be negatively affected by many factors, including our failure to accurately manage our expansion strategy, product introductions by competitors, an increase or decrease in customer demand for our products or for products of our competitors, our failure to accurately forecast customer acceptance of new products, unanticipated changes in general market conditions or regulatory matters and weakening of</w:t>
      </w:r>
    </w:p>
    <w:p>
      <w:pPr>
        <w:spacing w:after="0" w:line="200" w:lineRule="exact"/>
        <w:rPr>
          <w:sz w:val="20"/>
          <w:szCs w:val="20"/>
          <w:color w:val="auto"/>
        </w:rPr>
      </w:pPr>
    </w:p>
    <w:p>
      <w:pPr>
        <w:spacing w:after="0" w:line="336"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00"/>
          </w:cols>
          <w:pgMar w:left="240" w:top="27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and utilization,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or utilization,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122"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information technology systems, or those used by third party service providers, partners, our contractors or consultants, may fail or suffer security breaches, and such failure could negatively affect our business, financial condition and results of operations.</w:t>
      </w:r>
    </w:p>
    <w:p>
      <w:pPr>
        <w:spacing w:after="0" w:line="94"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 and could subject us to significant liabilities and regulatory and enforcement actions, and reputational damage.</w:t>
      </w:r>
    </w:p>
    <w:p>
      <w:pPr>
        <w:spacing w:after="0" w:line="124"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We and certain of our partners or service providers are from time to time subject to cyberattacks and security incidents. The emergence and maturation of AI capabilities may also lead to new and/or more sophisticated methods of attack.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If we or our third-party partners, consultants, contractors, suppliers, or service providers were to suffer an attack or breach, for example, that resulted in the unauthorized access to or use or disclosure of health-related or other personal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third parties to conduct clinical trials, and similar events relating to their computer systems and networks could also have a material adverse effect on our business.</w:t>
      </w:r>
    </w:p>
    <w:p>
      <w:pPr>
        <w:spacing w:after="0" w:line="130"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To the extent that any disruption or security breach were to result in a loss of, or damage to, our data or systems or data or systems of our commercial partners, or inappropriate or unauthorized access to or disclosure or use of confidential, proprietary, or other sensitive, personal, or health information, we could incur liability and suffer reputational harm. Failure to maintain or protect our information technology systems effectively could negatively affect our business, financial condition and results of operations. We maintain cyber liability insurance; however, this insurance may not be sufficient to cover the financial, legal, business or reputational losses that may result from an interruption or breach of our systems.</w:t>
      </w:r>
    </w:p>
    <w:p>
      <w:pPr>
        <w:spacing w:after="0" w:line="117"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use of artificial intelligence in our business, including in our products and internally by our employees or business partners, may expose us to additional legal, regulatory and other risks that could adversely affect our business.</w:t>
      </w:r>
    </w:p>
    <w:p>
      <w:pPr>
        <w:spacing w:after="0" w:line="94"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We use, and may continue to expand our use of, artificial intelligence (“AI”) technologies in our products and operations. For example, our HYDROS Robotic System includes AI-enabled, imaging-related assistive functionality designed to support Aquablation therapy. AI technologies are complex and rapidly evolving, and AI-enabled functionality may produce outputs that are inaccurate, incomplete, misleading, or biased, and could adversely affect our business.</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firstLine="309"/>
        <w:spacing w:after="0" w:line="270" w:lineRule="auto"/>
        <w:rPr>
          <w:sz w:val="20"/>
          <w:szCs w:val="20"/>
          <w:color w:val="auto"/>
        </w:rPr>
      </w:pPr>
      <w:r>
        <w:rPr>
          <w:rFonts w:ascii="Times New Roman" w:cs="Times New Roman" w:eastAsia="Times New Roman" w:hAnsi="Times New Roman"/>
          <w:sz w:val="17"/>
          <w:szCs w:val="17"/>
          <w:color w:val="auto"/>
        </w:rPr>
        <w:t>There is a global trend towards more regulation of AI technologies (e.g., the EU AI Act and AI laws passed in U.S. states) to ensure the ethical use, privacy, and security of AI and the data that it processes. New or changing AI-related laws, regulations, or standards may require us to modify our business practices or products or incur substantial additional costs.</w:t>
      </w:r>
    </w:p>
    <w:p>
      <w:pPr>
        <w:spacing w:after="0" w:line="114" w:lineRule="exact"/>
        <w:rPr>
          <w:sz w:val="20"/>
          <w:szCs w:val="20"/>
          <w:color w:val="auto"/>
        </w:rPr>
      </w:pPr>
    </w:p>
    <w:p>
      <w:pPr>
        <w:ind w:right="180" w:firstLine="309"/>
        <w:spacing w:after="0" w:line="261" w:lineRule="auto"/>
        <w:rPr>
          <w:sz w:val="20"/>
          <w:szCs w:val="20"/>
          <w:color w:val="auto"/>
        </w:rPr>
      </w:pPr>
      <w:r>
        <w:rPr>
          <w:rFonts w:ascii="Times New Roman" w:cs="Times New Roman" w:eastAsia="Times New Roman" w:hAnsi="Times New Roman"/>
          <w:sz w:val="17"/>
          <w:szCs w:val="17"/>
          <w:color w:val="auto"/>
        </w:rPr>
        <w:t>In addition, our employees, contractors, and other third parties with whom we do business may use AI tools, including generative AI tools provided by third parties, in the course of their work. Such use may increase the risk that confidential, proprietary, or sensitive business information is inadvertently disclosed or incorporated into third-party systems, or that the security of our internal IT systems could be compromised. Although we have adopted policies, training, contractual restrictions, and technical controls intended to govern the use of AI tools and mitigate these risks, we cannot assure you that such measures will be effective in all instances.</w:t>
      </w:r>
    </w:p>
    <w:p>
      <w:pPr>
        <w:spacing w:after="0" w:line="11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 to comply with data protection, privacy and security laws, regulations, standards and other requirements could lead to government enforcement actions (which could include civil or criminal penalties), private litigation, and/or adverse publicity and could negatively affect our operating results and business.</w:t>
      </w:r>
    </w:p>
    <w:p>
      <w:pPr>
        <w:spacing w:after="0" w:line="112"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The global data protection landscape is rapidly evolving, and we are, or we may, become subject to federal, state, and foreign data protection laws, regulations and requirements governing the collection, use, disclosure, retention and security of personal information. In the United States, numerous federal and state laws and regulations, including state data breach notification laws, state health information privacy laws, and federal and state consumer protection laws and regulations that govern the collection, processing, use, disclosure, and protection of health-related and other personal information could apply to our operations or the operations of our partners. For example, the federal Health Insurance Portability and Accountability Act of 1996, as amended by the Health Information Technology for Economic and Clinical Health Act of 2009, and regulations promulgated thereunder, or collectively, HIPAA, imposes obligations on “covered entities,” including certain health care providers, health plans, and health care clearinghouses, and their respective “business associates” that create, receive, maintain or transmit protected health information for or on behalf of a covered entity. We may obtain health information from third parties (including research institutions from which we obtain clinical trial data) that are subject to privacy and security requirements under HIPAA. Entities that are found to be in violation of HIPAA, whether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26" w:lineRule="exact"/>
        <w:rPr>
          <w:sz w:val="20"/>
          <w:szCs w:val="20"/>
          <w:color w:val="auto"/>
        </w:rPr>
      </w:pPr>
    </w:p>
    <w:p>
      <w:pPr>
        <w:ind w:right="160" w:firstLine="309"/>
        <w:spacing w:after="0" w:line="260" w:lineRule="auto"/>
        <w:rPr>
          <w:sz w:val="20"/>
          <w:szCs w:val="20"/>
          <w:color w:val="auto"/>
        </w:rPr>
      </w:pPr>
      <w:r>
        <w:rPr>
          <w:rFonts w:ascii="Times New Roman" w:cs="Times New Roman" w:eastAsia="Times New Roman" w:hAnsi="Times New Roman"/>
          <w:sz w:val="17"/>
          <w:szCs w:val="17"/>
          <w:color w:val="auto"/>
        </w:rPr>
        <w:t>Even when HIPAA does not apply, according to the Federal Trade Commission, or the FTC, failing to take appropriate steps to keep consumers’ personal information secure may constitute unfair acts or practices in or affecting commerce in violation of Section 5 of the Federal Trade Commission Act. The FTC and many state Attorneys General continue to enforce federal and state consumer protection laws against companies for online collection, use, dissemination and security practices that appear to be unfair or deceptive.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22" w:lineRule="exact"/>
        <w:rPr>
          <w:sz w:val="20"/>
          <w:szCs w:val="20"/>
          <w:color w:val="auto"/>
        </w:rPr>
      </w:pPr>
    </w:p>
    <w:p>
      <w:pPr>
        <w:ind w:right="20" w:firstLine="309"/>
        <w:spacing w:after="0" w:line="256" w:lineRule="auto"/>
        <w:rPr>
          <w:sz w:val="20"/>
          <w:szCs w:val="20"/>
          <w:color w:val="auto"/>
        </w:rPr>
      </w:pPr>
      <w:r>
        <w:rPr>
          <w:rFonts w:ascii="Times New Roman" w:cs="Times New Roman" w:eastAsia="Times New Roman" w:hAnsi="Times New Roman"/>
          <w:sz w:val="17"/>
          <w:szCs w:val="17"/>
          <w:color w:val="auto"/>
        </w:rPr>
        <w:t>In addition, certain state laws govern the privacy and security of health-related and other personal information, many of which may differ from each other, thus, complicating compliance efforts. For example, the California Consumer Privacy Act, or CCPA, went into effect on January 1, 2020. It created individual privacy rights for California consumers (as defined in the law), including the right to opt out of certain disclosures of their information, and places increased privacy and security obligations on entities handling certain personal data of consumers or households and may apply to us in the future. The CCPA also creates a private right of action for certain data breaches that has increased the likelihood of, and risks associated with, breach litigation. Further, the California Privacy Rights Act, or CPRA, generally went into effect on January 1, 2023, and amends the CCPA. The CPRA imposes additional data protection obligations on covered businesses, including additional consumer rights processes, limitations on data uses, new audit requirements for higher risk data, and opt outs for certain uses of sensitive data. It creates a new California data protection agency authorized to issue substantive regulations and could result in increased privacy and information security enforcement. Additional compliance investment and potential business process changes may also be required. Following the lead of California, several other states, including Virginia, Colorado, Connecticut and Utah, have each enacted laws similar to the CCPA/CPRA and other states are considering enacting privacy laws as well. Health-specific consumer privacy laws were also passed in multiple states, including Washington and Nevada. The multiple layers of privacy law within the United States could increase our potential liability, increase our compliance costs, and adversely affect our financial condition.</w:t>
      </w:r>
    </w:p>
    <w:p>
      <w:pPr>
        <w:spacing w:after="0" w:line="128" w:lineRule="exact"/>
        <w:rPr>
          <w:sz w:val="20"/>
          <w:szCs w:val="20"/>
          <w:color w:val="auto"/>
        </w:rPr>
      </w:pPr>
    </w:p>
    <w:p>
      <w:pPr>
        <w:ind w:right="160" w:firstLine="309"/>
        <w:spacing w:after="0" w:line="287" w:lineRule="auto"/>
        <w:rPr>
          <w:sz w:val="20"/>
          <w:szCs w:val="20"/>
          <w:color w:val="auto"/>
        </w:rPr>
      </w:pPr>
      <w:r>
        <w:rPr>
          <w:rFonts w:ascii="Times New Roman" w:cs="Times New Roman" w:eastAsia="Times New Roman" w:hAnsi="Times New Roman"/>
          <w:sz w:val="17"/>
          <w:szCs w:val="17"/>
          <w:color w:val="auto"/>
        </w:rPr>
        <w:t>Foreign data protection laws, including the General Data Protection Regulation, including as implemented in the United Kingdom, or collectively or GDPR, may also apply to our processing of health-related and other personal data</w:t>
      </w: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regardless of where the processing in question is carried out. The GDPR imposes stringent requirements for controllers and processors of personal data of individuals within EEA and UK, including obligations to having a lawful basis for processing personal data (which may in certain situations require explicit consent of the individuals to whom the personal data relates), providing detailed information about the processing activities, dealing with restrictions on sharing of personal data with third parties, and the transferring the consent of the individuals to whom the personal data relates, the information provided to the individuals, the transfer of personal data out of the EEA to jurisdictions deemed to have inadequate,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or CJEU, limited how organizations could lawfully transfer personal data from the EU/EEA to the United States by invalidating the Privacy Shield for purposes of international transfers and imposing further restrictions on the use of standard contractual clauses, or SCCs. In March 2022, the US and EU announced a new regulatory regime intended to replace the invalidated regulations; however, this new EU-US Data Privacy Framework has not been implemented beyond an executive order signed by former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29"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7"/>
          <w:szCs w:val="17"/>
          <w:color w:val="auto"/>
        </w:rPr>
        <w:t>Further, from January 1, 2021, companies have had to comply with the GDPR and also the UK GDPR, which, together with the amended UK Data Protection Act 2018, retains the GDPR in UK national law. The UK GDPR mirrors the fines under the GDPR, e.g. fines up to the greater of €20 million (£17.5 million) or 4% of global turnover. As we continue to expand into other foreign countries and jurisdictions, we may be subject to additional laws and regulations that may affect how we conduct business.</w:t>
      </w:r>
    </w:p>
    <w:p>
      <w:pPr>
        <w:spacing w:after="0" w:line="120"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Compliance with US, foreign, and local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18"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Natural or man-made disasters and other similar catastrophic events outside of our control may significantly disrupt our business, and negatively impact our business, financial condition and results of operations.</w:t>
      </w:r>
    </w:p>
    <w:p>
      <w:pPr>
        <w:spacing w:after="0" w:line="9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Natural or man-made disasters, including earthquakes, wildfires, floods, hurricanes, nuclear disasters, riots, acts of terrorism or other criminal activities, public health emergencies such as infectious disease outbreaks, power outages and other infrastructure failures may impact our facilities or operations or the facilities or operations of our suppliers, customers, and other business partners (including their suppliers and business partners), which could the result in a disruption in our business and operations or increase costs to operate our business. For example, following a natural disaster, and during the related recovery, our customers may limit the number of surgical procedures or elective procedures performed at their facilities due to disruptions to hospital operations or supply constraints, or patients may choose to cancel or delay such procedures even if the hospital is able to perform it. As a result, customers may reduce the number of products ordered during the disruption, including disposable handpieces, and we may experience material and adverse impacts to our business, financial condition and results of operations, even if such supply constraints would not directly impact our procedure.</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309"/>
        <w:spacing w:after="0" w:line="258" w:lineRule="auto"/>
        <w:rPr>
          <w:sz w:val="20"/>
          <w:szCs w:val="20"/>
          <w:color w:val="auto"/>
        </w:rPr>
      </w:pPr>
      <w:r>
        <w:rPr>
          <w:rFonts w:ascii="Times New Roman" w:cs="Times New Roman" w:eastAsia="Times New Roman" w:hAnsi="Times New Roman"/>
          <w:sz w:val="17"/>
          <w:szCs w:val="17"/>
          <w:color w:val="auto"/>
        </w:rPr>
        <w:t>Furthermore, a significant portion of our employee base, and our primary operating facility and infrastructure are centralized in Northern California. Our facility may be harmed or rendered inoperable by any such natural or catastrophic disasters, which may render it difficult or impossible for us to operate our business for some period of time. Our facilities would likely be costly to repair or replace, and any business continuity or repair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suppliers and manufacturers may be harmed or rendered inoperable by such natural or man-made disasters, which may cause disruptions, difficulties or otherwise materially and adversely affect our business, financial condition and results of operations.</w:t>
      </w:r>
    </w:p>
    <w:p>
      <w:pPr>
        <w:spacing w:after="0" w:line="118"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sizes of the addressable markets for our products have not been established with precision and our potential market opportunity may be smaller than we estimate and may decline.</w:t>
      </w:r>
    </w:p>
    <w:p>
      <w:pPr>
        <w:spacing w:after="0" w:line="94" w:lineRule="exact"/>
        <w:rPr>
          <w:sz w:val="20"/>
          <w:szCs w:val="20"/>
          <w:color w:val="auto"/>
        </w:rPr>
      </w:pPr>
    </w:p>
    <w:p>
      <w:pPr>
        <w:ind w:right="100" w:firstLine="309"/>
        <w:spacing w:after="0" w:line="258" w:lineRule="auto"/>
        <w:rPr>
          <w:sz w:val="20"/>
          <w:szCs w:val="20"/>
          <w:color w:val="auto"/>
        </w:rPr>
      </w:pPr>
      <w:r>
        <w:rPr>
          <w:rFonts w:ascii="Times New Roman" w:cs="Times New Roman" w:eastAsia="Times New Roman" w:hAnsi="Times New Roman"/>
          <w:sz w:val="17"/>
          <w:szCs w:val="17"/>
          <w:color w:val="auto"/>
        </w:rPr>
        <w:t>Our estimates of the annual total addressable market for our products are based on a number of internal and third-party estimates, including, without limitation, the assumed prices at which we can sell our robotic systems and the single-use disposable handpieces.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products may prove to be incorrect. If the actual number of patients who would benefit from our products, the price at which we can sell our products, or the total addressable market for our products is smaller than we have estimated, it may impair our sales growth and materially and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Until we are able to achieve broader market acceptance of our products, we may face risks associated with a more concentrated customer base.</w:t>
      </w:r>
    </w:p>
    <w:p>
      <w:pPr>
        <w:spacing w:after="0" w:line="171"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Until we are able to achieve broader market acceptance of our products, we may face risks associated with a more concentrated customer base. There are risks whenever a significant percentage of revenue is concentrated with a limited number of customers. For example, revenue from these customers may fluctuate from time to time based on these customers’ business needs, the timing of which may be affected by market conditions or other facts outside of our control. These customers could also potentially pressure us to reduce the prices we charge for our disposables, which could have an adverse effect on our margins and financial position and could negatively affect our revenue and results of operations. If any of our largest customers terminates its relationship with us, such termination could negatively affect our revenues and results of operations.</w:t>
      </w:r>
    </w:p>
    <w:p>
      <w:pPr>
        <w:spacing w:after="0" w:line="116"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112"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We face an inherent risk of product liability as a result of the marketing and sale of our products. For example, we may be sued if our robotic systems, the single-use disposable handpiece or any of their component parts, or any of our products, causes, or is perceived to cause, injury or is found to be otherwise unsuitable during manufacturing, marketing or sale. We may also be subject to product liability claims if our products or services are deemed non-compliant with applicable laws or regulations.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We may also be subject to claims that are caused by the activities of our suppliers, such as those who provide us with components and sub-assemblies, or manufacturers who produce our products and the single-use disposable handpieces.</w:t>
      </w:r>
    </w:p>
    <w:p>
      <w:pPr>
        <w:spacing w:after="0" w:line="128"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If we cannot successfully defend ourselves against product liability claims, we may incur substantial liabilities or be required to limit or halt the marketing and sale of our products. Even successful defense would require significant financial and management resources. Regardless of the merits or eventual outcome, liability claims may result in:</w:t>
      </w:r>
    </w:p>
    <w:p>
      <w:pPr>
        <w:spacing w:after="0" w:line="114"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to our reputation;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of investigations by regulators, which could result in enforcement action against us or our contract manufacturers;</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defend the related litigation;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diversion of management’s time and our resources;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exhaustion of any available insurance and our capital resources.</w:t>
      </w:r>
    </w:p>
    <w:p>
      <w:pPr>
        <w:spacing w:after="0" w:line="165" w:lineRule="exact"/>
        <w:rPr>
          <w:sz w:val="20"/>
          <w:szCs w:val="20"/>
          <w:color w:val="auto"/>
        </w:rPr>
      </w:pPr>
    </w:p>
    <w:p>
      <w:pPr>
        <w:ind w:right="40" w:firstLine="309"/>
        <w:spacing w:after="0" w:line="257" w:lineRule="auto"/>
        <w:rPr>
          <w:sz w:val="20"/>
          <w:szCs w:val="20"/>
          <w:color w:val="auto"/>
        </w:rPr>
      </w:pPr>
      <w:r>
        <w:rPr>
          <w:rFonts w:ascii="Times New Roman" w:cs="Times New Roman" w:eastAsia="Times New Roman" w:hAnsi="Times New Roman"/>
          <w:sz w:val="17"/>
          <w:szCs w:val="17"/>
          <w:color w:val="auto"/>
        </w:rPr>
        <w:t>The risk of a product liability lawsuit may increase if our products were deemed to be non-compliant with applicable laws and regulation. In the event we face a product liability lawsuit, 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products.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18" w:lineRule="exact"/>
        <w:rPr>
          <w:sz w:val="20"/>
          <w:szCs w:val="20"/>
          <w:color w:val="auto"/>
        </w:rPr>
      </w:pPr>
    </w:p>
    <w:p>
      <w:pPr>
        <w:ind w:right="7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Cost-containment efforts of our customers, purchasing groups and governmental organizations could have a material adverse effect on our sales and profitability.</w:t>
      </w:r>
    </w:p>
    <w:p>
      <w:pPr>
        <w:spacing w:after="0" w:line="94" w:lineRule="exact"/>
        <w:rPr>
          <w:sz w:val="20"/>
          <w:szCs w:val="20"/>
          <w:color w:val="auto"/>
        </w:rPr>
      </w:pPr>
    </w:p>
    <w:p>
      <w:pPr>
        <w:ind w:right="80" w:firstLine="309"/>
        <w:spacing w:after="0" w:line="260" w:lineRule="auto"/>
        <w:rPr>
          <w:sz w:val="20"/>
          <w:szCs w:val="20"/>
          <w:color w:val="auto"/>
        </w:rPr>
      </w:pPr>
      <w:r>
        <w:rPr>
          <w:rFonts w:ascii="Times New Roman" w:cs="Times New Roman" w:eastAsia="Times New Roman" w:hAnsi="Times New Roman"/>
          <w:sz w:val="17"/>
          <w:szCs w:val="17"/>
          <w:color w:val="auto"/>
        </w:rPr>
        <w:t>In an effort to reduce costs, many hospitals in the United States have become members of GPOs and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spacing w:after="0" w:line="122"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w:t>
      </w:r>
    </w:p>
    <w:p>
      <w:pPr>
        <w:spacing w:after="0" w:line="117"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9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We may form or seek strategic alliances, create joint ventures or collaborations or enter into licensing or partnership arrangements with third parties that we believe will compliment or augment our sales and marketing efforts with respect to our products. We may not be successful in our efforts to establish such collaborations.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our products.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 future, or delays in entering into new strategic partnership agreements could delay tour sales and marketing efforts, which would harm our business prospects, financial condition and results of operations.</w:t>
      </w:r>
    </w:p>
    <w:p>
      <w:pPr>
        <w:spacing w:after="0" w:line="9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future growth may depend, in part, on our ability to penetrate foreign markets, where we would be subject to additional regulatory burdens and other risks and uncertainties.</w:t>
      </w:r>
    </w:p>
    <w:p>
      <w:pPr>
        <w:spacing w:after="0" w:line="94"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We currently market and sell our products in countries outside of the United States. The sale and shipment of our products across international borders, as well as the purchase of components and products from international sources, subjects us to extensive U.S. and other foreign governmental trade, import and export and customs laws and regulations. Compliance with these laws and regulations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123"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and geographically dispersed operations, to the extent we establish non-U.S. operations;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and multiple payor reimbursement regimes, government payors or patient self-pay systems;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determining and creating the proper sales pathway in new, international markets;</w:t>
      </w:r>
    </w:p>
    <w:p>
      <w:pPr>
        <w:spacing w:after="0" w:line="165"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we utilize third-party distributors in foreign markets, our ability to effectively screen, recruit and retain qualified third-party distributors and training them in our technology and product offering and business;</w:t>
      </w:r>
    </w:p>
    <w:p>
      <w:pPr>
        <w:spacing w:after="0" w:line="99"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various U.S. and international laws, including export control laws and the U.S. Foreign Corrupt Practices Act of 1977, or the FCPA, and anti-money laundering laws;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regulatory requirements for obtaining clearances or approvals to market our products;</w:t>
      </w:r>
    </w:p>
    <w:p>
      <w:pPr>
        <w:spacing w:after="0" w:line="165" w:lineRule="exact"/>
        <w:rPr>
          <w:rFonts w:ascii="Times New Roman" w:cs="Times New Roman" w:eastAsia="Times New Roman" w:hAnsi="Times New Roman"/>
          <w:sz w:val="17"/>
          <w:szCs w:val="17"/>
          <w:color w:val="auto"/>
        </w:rPr>
      </w:pPr>
    </w:p>
    <w:p>
      <w:pPr>
        <w:ind w:left="620" w:right="6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or uncertainties relating to, foreign rules and regulations that may impact our ability to sell our products, perform services or repatriate profits to the United States;</w:t>
      </w:r>
    </w:p>
    <w:p>
      <w:pPr>
        <w:spacing w:after="0" w:line="99" w:lineRule="exact"/>
        <w:rPr>
          <w:rFonts w:ascii="Times New Roman" w:cs="Times New Roman" w:eastAsia="Times New Roman" w:hAnsi="Times New Roman"/>
          <w:sz w:val="17"/>
          <w:szCs w:val="17"/>
          <w:color w:val="auto"/>
        </w:rPr>
      </w:pPr>
    </w:p>
    <w:p>
      <w:pPr>
        <w:ind w:left="620" w:right="4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and trade barriers, export regulations, sanctions and other regulatory and contractual limitations on our ability to sell our products in certain foreign markets;</w:t>
      </w:r>
    </w:p>
    <w:p>
      <w:pPr>
        <w:spacing w:after="0" w:line="99"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tax consequences, including imposition of limitations on or increase of withholding and other taxes on remittances and other payments by foreign subsidiaries or joint ventures;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differing labor laws and standards;</w:t>
      </w:r>
    </w:p>
    <w:p>
      <w:pPr>
        <w:spacing w:after="0" w:line="165" w:lineRule="exact"/>
        <w:rPr>
          <w:rFonts w:ascii="Times New Roman" w:cs="Times New Roman" w:eastAsia="Times New Roman" w:hAnsi="Times New Roman"/>
          <w:sz w:val="17"/>
          <w:szCs w:val="17"/>
          <w:color w:val="auto"/>
        </w:rPr>
      </w:pPr>
    </w:p>
    <w:p>
      <w:pPr>
        <w:ind w:left="620" w:right="30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armed conflicts or economic, political or social instability in foreign countries and regions, such as the conflicts between Russia and Ukraine, tensions across the Taiwan Strait, the Israel-Hamas conflict and other hostilities in the Middle East;</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w:t>
      </w:r>
    </w:p>
    <w:p>
      <w:pPr>
        <w:spacing w:after="0" w:line="165"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or reduced ability, to protect our intellectual property in various countries around the world, including any effect of compulsory licensing imposed by government action;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government subsidies or other incentives that benefit competitors in their local markets that are not available to us.</w:t>
      </w:r>
    </w:p>
    <w:p>
      <w:pPr>
        <w:spacing w:after="0" w:line="165" w:lineRule="exact"/>
        <w:rPr>
          <w:sz w:val="20"/>
          <w:szCs w:val="20"/>
          <w:color w:val="auto"/>
        </w:rPr>
      </w:pPr>
    </w:p>
    <w:p>
      <w:pPr>
        <w:ind w:right="100" w:firstLine="309"/>
        <w:spacing w:after="0" w:line="270" w:lineRule="auto"/>
        <w:rPr>
          <w:sz w:val="20"/>
          <w:szCs w:val="20"/>
          <w:color w:val="auto"/>
        </w:rPr>
      </w:pPr>
      <w:r>
        <w:rPr>
          <w:rFonts w:ascii="Times New Roman" w:cs="Times New Roman" w:eastAsia="Times New Roman" w:hAnsi="Times New Roman"/>
          <w:sz w:val="17"/>
          <w:szCs w:val="17"/>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108"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United States trade policy, including the imposition of tariffs and the resulting consequences, may have a material adverse impact on our business and results of operations.</w:t>
      </w:r>
    </w:p>
    <w:p>
      <w:pPr>
        <w:spacing w:after="0" w:line="94" w:lineRule="exact"/>
        <w:rPr>
          <w:sz w:val="20"/>
          <w:szCs w:val="20"/>
          <w:color w:val="auto"/>
        </w:rPr>
      </w:pPr>
    </w:p>
    <w:p>
      <w:pPr>
        <w:jc w:val="both"/>
        <w:ind w:right="100" w:firstLine="309"/>
        <w:spacing w:after="0" w:line="270" w:lineRule="auto"/>
        <w:rPr>
          <w:sz w:val="20"/>
          <w:szCs w:val="20"/>
          <w:color w:val="auto"/>
        </w:rPr>
      </w:pPr>
      <w:r>
        <w:rPr>
          <w:rFonts w:ascii="Times New Roman" w:cs="Times New Roman" w:eastAsia="Times New Roman" w:hAnsi="Times New Roman"/>
          <w:sz w:val="17"/>
          <w:szCs w:val="17"/>
          <w:color w:val="auto"/>
        </w:rPr>
        <w:t>As a result of new administration and associated policy changes or shifting proposals by the U.S. government, there may be greater restrictions and economic disincentives on international trade. For example, the U.S. government has pursued a new approach to trade policy, including renegotiating or terminating certain existing bilateral or multi-lateral trade agreements. Beginning in 2025, the U.S. government has imposed significant new tariffs on imports, which, along</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with other U.S. trade actions, have triggered retaliatory actions by certain affected countries, including retaliatory measures on U.S. goods and other protectionist measures that could limit our ability to offer our products and services outside of the U.S.</w:t>
      </w:r>
    </w:p>
    <w:p>
      <w:pPr>
        <w:spacing w:after="0" w:line="100"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The tariff policy environment has been and can be expected to continue to be dynamic. The ultimate impact of these newly enacted and potential future tariffs or other restrictions on international trade will depend on various factors, including the ultimate levels of such tariffs, how long such tariffs remain in place, and how other countries respond to the U.S. tariffs. While we manufacture our robotic systems and handpieces in California, we source certain components from foreign suppliers, including a third-party manufacturer of ultrasound systems and probes located in China. In addition, our suppliers also import certain raw materials, components and other products from foreign suppliers. Therefore, increased tariffs or other trade restrictions could increase the cost of our products and the components and raw materials that go into making them. These conditions may also require us to take additional risk mitigation measures that could result in increased costs. These increased costs could continue to adversely impact the gross margin that we earn on our products, potentially making our products less competitive and reducing consumer demand. In addition, some of our suppliers may experience disruption to their respective supply chains due to the broader impact of these tariffs, which could also negatively affect our cost of materials and timing of our production processes. As such, the increase of tariffs,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have an adverse effect on our business, financial condition and results of operations.</w:t>
      </w:r>
    </w:p>
    <w:p>
      <w:pPr>
        <w:spacing w:after="0" w:line="122" w:lineRule="exact"/>
        <w:rPr>
          <w:sz w:val="20"/>
          <w:szCs w:val="20"/>
          <w:color w:val="auto"/>
        </w:rPr>
      </w:pPr>
    </w:p>
    <w:p>
      <w:pPr>
        <w:ind w:right="6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94"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We are highly dependent on our senior management and other key personnel. Our success will depend on our ability to retain senior management and to attract, recruit, retain, manage and motivate qualified personnel in the future, particularly with respect to an expected increase in hiring in connection with becoming a public company,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it would have a material adverse effect on our business, financial condition and results of operations. In July 2025, we announced a planned transition in our Chief Executive Officer role. We have also implemented leadership changes within our sales and marketing organizations. Such change and any future significant leadership changes or senior management transitions involve inherent risk. Leadership transition periods can be disruptive and may result in a loss of personnel with deep institutional or technical knowledge, or result in changes to business strategy or objectives, and may adversely affect our relationships with customers and results of operations.</w:t>
      </w:r>
    </w:p>
    <w:p>
      <w:pPr>
        <w:spacing w:after="0" w:line="12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Competition for skilled personnel in our market is intense and may limit our ability to hire and retain highly qualified personnel on acceptable terms, or at all. To induce valuable employees to remain at our company, we have issued and may continue to issue equity awards that vest over time, in addition to salary and cash incentives.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 This lack of insurance means that we may not have adequate compensation for the loss of the services of these individuals.</w:t>
      </w:r>
    </w:p>
    <w:p>
      <w:pPr>
        <w:spacing w:after="0" w:line="11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could be adversely affected by violations of the FCPA and similar worldwide anti-bribery laws, as well as violations of export or import controls or economic sanctions laws and regulations. Any investigation, and the outcome of any investigation, by government agencies of possible violations by us of such laws and regulations could have a material adverse effect on our business.</w:t>
      </w:r>
    </w:p>
    <w:p>
      <w:pPr>
        <w:spacing w:after="0" w:line="112"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7"/>
          <w:szCs w:val="17"/>
          <w:color w:val="auto"/>
        </w:rPr>
        <w:t>We are subject to anti-corruption laws and regulations, including the U.S. Foreign Corrupt Practices Act of 1977, as amended, the U.S. domestic bribery statute in 18 U.S.C. 201, the International Travel Act of 1961, as amended, or the U.S. Travel Act, the U.K. Bribery Act 2010, or the Bribery Act, and similar anti-bribery laws in jurisdictions in which we conduct activities. Anti-corruption laws are interpreted broadly and prohibit companies and their employees, agents, and intermediaries from corruptly authorizing, promising, providing, or offering, directly or indirectly, improper payments or anything else of value to government officials and persons in the private sector for the purpose of obtaining or retaining</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business. In addition, an organization that fails to prevent bribery by anyone associated with the organization can be charged under the Bribery Act, unless the organization can establish the defense of having implemented adequate procedures to prevent bribery.</w:t>
      </w:r>
    </w:p>
    <w:p>
      <w:pPr>
        <w:spacing w:after="0" w:line="100" w:lineRule="exact"/>
        <w:rPr>
          <w:sz w:val="20"/>
          <w:szCs w:val="20"/>
          <w:color w:val="auto"/>
        </w:rPr>
      </w:pPr>
    </w:p>
    <w:p>
      <w:pPr>
        <w:jc w:val="both"/>
        <w:ind w:right="40" w:firstLine="309"/>
        <w:spacing w:after="0" w:line="261" w:lineRule="auto"/>
        <w:rPr>
          <w:sz w:val="20"/>
          <w:szCs w:val="20"/>
          <w:color w:val="auto"/>
        </w:rPr>
      </w:pPr>
      <w:r>
        <w:rPr>
          <w:rFonts w:ascii="Times New Roman" w:cs="Times New Roman" w:eastAsia="Times New Roman" w:hAnsi="Times New Roman"/>
          <w:sz w:val="17"/>
          <w:szCs w:val="17"/>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require us to obtain licenses and authorizations prior to export, create delays in the introduction of our products in certain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spacing w:after="0" w:line="123" w:lineRule="exact"/>
        <w:rPr>
          <w:sz w:val="20"/>
          <w:szCs w:val="20"/>
          <w:color w:val="auto"/>
        </w:rPr>
      </w:pPr>
    </w:p>
    <w:p>
      <w:pPr>
        <w:ind w:right="40" w:firstLine="309"/>
        <w:spacing w:after="0" w:line="256" w:lineRule="auto"/>
        <w:rPr>
          <w:sz w:val="20"/>
          <w:szCs w:val="20"/>
          <w:color w:val="auto"/>
        </w:rPr>
      </w:pPr>
      <w:r>
        <w:rPr>
          <w:rFonts w:ascii="Times New Roman" w:cs="Times New Roman" w:eastAsia="Times New Roman" w:hAnsi="Times New Roman"/>
          <w:sz w:val="17"/>
          <w:szCs w:val="17"/>
          <w:color w:val="auto"/>
        </w:rPr>
        <w:t>We are in the process of further enhancing policies designed to ensure compliance by us and our directors, officers, employees, representatives, consultants and agents with the FCPA, the Bribery Act, OFAC laws and regulations, and other export control, anti-corruption, anti-money-laundering and anti-terrorism laws and regulations. In the future, we may operate in parts of the world that pose a heightened corruption risk. Moreover, because of the significant role government entities play in the regulation of many foreign healthcare markets, we may be exposed to heightened FCPA and similar risks arising from our efforts to seek regulatory approval of and reimbursement for our products in such countries. We cannot assure you that our internal control policies and procedures will protect us from improper acts committed by our employees or agents, nor can we assure you that our business partners have not engaged and will not engage in improper conduct that could materially affect their ability to perform their contractual obligations to us or even result in our being held liable for such conduct. The U.S. Departments of Justice, Commerce, State and Treasury and other federal agencies and authorities have a broad range of civil and criminal penalties they may seek to impose against corporations and individuals for violations of anti-corruption laws, economic sanctions laws, and export control and import laws. In addition, violations of these laws, or allegations of such violations, would significantly disrupt our business and have a material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and research and development credit may be limited.</w:t>
      </w:r>
    </w:p>
    <w:p>
      <w:pPr>
        <w:spacing w:after="0" w:line="171" w:lineRule="exact"/>
        <w:rPr>
          <w:sz w:val="20"/>
          <w:szCs w:val="20"/>
          <w:color w:val="auto"/>
        </w:rPr>
      </w:pPr>
    </w:p>
    <w:p>
      <w:pPr>
        <w:ind w:firstLine="309"/>
        <w:spacing w:after="0" w:line="255" w:lineRule="auto"/>
        <w:rPr>
          <w:sz w:val="20"/>
          <w:szCs w:val="20"/>
          <w:color w:val="auto"/>
        </w:rPr>
      </w:pPr>
      <w:r>
        <w:rPr>
          <w:rFonts w:ascii="Times New Roman" w:cs="Times New Roman" w:eastAsia="Times New Roman" w:hAnsi="Times New Roman"/>
          <w:sz w:val="17"/>
          <w:szCs w:val="17"/>
          <w:color w:val="auto"/>
        </w:rPr>
        <w:t>As of December 31, 2025, we had U.S. federal and state net operating loss, or NOL, carryforwards of approximately $446.9 million and $281.5 million, respectively, and U.S. federal and state research and development credit carryforwards of $13.2 million and $10.6 million, respectively. NOLs incurred in taxable years beginning after December 31, 2017, may be carried forward indefinitely, but the deductibility of such federal NOLs in taxable years beginning after December 31, 2020, is limited to 80% of current year taxable income. In general, under Sections 382 and 383 of the Internal Revenue Code of 1986, as amended, or the Code, a corporation that undergoes an “ownership change,” generally defined as a greater than 50 percentage point change by value in its equity ownership over a rolling three-year period, is subject to limitations on its ability to utilize its pre-change NOLs and its research and development credit carryforwards to offset post-change taxable income. Similar rules may apply under state tax laws. Our existing NOLs and research and development credit carryforwards have been, and may in the future be, subject to limitations arising from previous ownership changes, and if we undergo an ownership change, our ability to utilize NOLs and research and development credit carryforwards could be further limited by Sections 382 and 383 of the Code. Future changes in our stock ownership, some of which might be beyond our control, could result in an ownership change under Section 382 of the Code. For these reasons, in the event we experience a future change of control, we may not be able to utilize a material portion of the NOLs, research and development credit carryforwards or disallowed interest expense carryovers, even if we attain profitability. In addition, for state income tax purposes, the extent to which states will conform to the federal laws is uncertain and there may be periods during which the use of NOL carryforwards is suspended or otherwise limited, which could accelerate or permanently increase state taxes owed.</w:t>
      </w:r>
    </w:p>
    <w:p>
      <w:pPr>
        <w:spacing w:after="0" w:line="342" w:lineRule="exact"/>
        <w:rPr>
          <w:sz w:val="20"/>
          <w:szCs w:val="20"/>
          <w:color w:val="auto"/>
        </w:rPr>
      </w:pPr>
    </w:p>
    <w:p>
      <w:pPr>
        <w:ind w:right="280" w:firstLine="309"/>
        <w:spacing w:after="0" w:line="270" w:lineRule="auto"/>
        <w:rPr>
          <w:sz w:val="20"/>
          <w:szCs w:val="20"/>
          <w:color w:val="auto"/>
        </w:rPr>
      </w:pPr>
      <w:r>
        <w:rPr>
          <w:rFonts w:ascii="Times New Roman" w:cs="Times New Roman" w:eastAsia="Times New Roman" w:hAnsi="Times New Roman"/>
          <w:sz w:val="17"/>
          <w:szCs w:val="17"/>
          <w:color w:val="auto"/>
        </w:rPr>
        <w:t>In addition, the tax benefit of NOLs, temporary differences and credit carryforwards are required to be recorded as an asset to the extent that we assess that realization is more likely than not. We believe that recognition of the deferred tax asset arising from these future tax benefits is not likely to be realized and, accordingly, have provided a full valuation allowance against our net deferred tax asset.</w:t>
      </w:r>
    </w:p>
    <w:p>
      <w:pPr>
        <w:spacing w:after="0" w:line="108"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94"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As part of our business strategy, we may in the future make acquisitions or investments in complementary companies, products or technologies that we believe fit within our business model and can address the needs of our existing and potential customers. However, we may not be able to acquire and integrate other companies, products or technologies in a successful manner. We may not be able to find suitable acquisition candidates, and we may not be able to complete such</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20"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27"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Also, the anticipated benefit of any acquisition may not materialize, or such acquisition may be prohibited. Our loan and security agreement also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Governmental Regulation</w:t>
      </w:r>
    </w:p>
    <w:p>
      <w:pPr>
        <w:spacing w:after="0" w:line="163"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to the reimbursement rates for our products and procedures utilizing our products, as well as measures to reduce healthcare costs may adversely impact our business.</w:t>
      </w:r>
    </w:p>
    <w:p>
      <w:pPr>
        <w:spacing w:after="0" w:line="9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We derive our revenue from sales of our products to hospitals, ambulatory surgery centers and other healthcare facilities, which typically bill all or a portion of the costs and fees associated with using our products to various third-party payors, including Medicare, Medicaid, private commercial insurance companies, health maintenance organizations and other healthcare-related organizations. Because a vast majority of U.S. patients eligible for procedures in which our products are used are covered by Medicare, the Medicare coverage policy and reimbursement rate are important factors in a physician’s decision to use our products and limits the prices we may charge for our products.</w:t>
      </w:r>
    </w:p>
    <w:p>
      <w:pPr>
        <w:spacing w:after="0" w:line="123" w:lineRule="exact"/>
        <w:rPr>
          <w:sz w:val="20"/>
          <w:szCs w:val="20"/>
          <w:color w:val="auto"/>
        </w:rPr>
      </w:pPr>
    </w:p>
    <w:p>
      <w:pPr>
        <w:ind w:right="120" w:firstLine="309"/>
        <w:spacing w:after="0" w:line="270" w:lineRule="auto"/>
        <w:rPr>
          <w:sz w:val="20"/>
          <w:szCs w:val="20"/>
          <w:color w:val="auto"/>
        </w:rPr>
      </w:pPr>
      <w:r>
        <w:rPr>
          <w:rFonts w:ascii="Times New Roman" w:cs="Times New Roman" w:eastAsia="Times New Roman" w:hAnsi="Times New Roman"/>
          <w:sz w:val="17"/>
          <w:szCs w:val="17"/>
          <w:color w:val="auto"/>
        </w:rPr>
        <w:t>Many patients have Medicaid coverage that is supplemental to Medicare coverage, and some patients may have Medicaid as their primary coverage. Because Medicaid is a state-administered program, Medicaid coverage policies and reimbursement vary by state. Changes in state Medicaid or other non-Medicare government-based programs or payment rates could have an adverse effect on our customer’s business.</w:t>
      </w:r>
    </w:p>
    <w:p>
      <w:pPr>
        <w:spacing w:after="0" w:line="114" w:lineRule="exact"/>
        <w:rPr>
          <w:sz w:val="20"/>
          <w:szCs w:val="20"/>
          <w:color w:val="auto"/>
        </w:rPr>
      </w:pPr>
    </w:p>
    <w:p>
      <w:pPr>
        <w:ind w:right="240" w:firstLine="309"/>
        <w:spacing w:after="0" w:line="261" w:lineRule="auto"/>
        <w:rPr>
          <w:sz w:val="20"/>
          <w:szCs w:val="20"/>
          <w:color w:val="auto"/>
        </w:rPr>
      </w:pPr>
      <w:r>
        <w:rPr>
          <w:rFonts w:ascii="Times New Roman" w:cs="Times New Roman" w:eastAsia="Times New Roman" w:hAnsi="Times New Roman"/>
          <w:sz w:val="17"/>
          <w:szCs w:val="17"/>
          <w:color w:val="auto"/>
        </w:rPr>
        <w:t>Finally, some patients may have coverage through private insurance, for example through a marketplace plan set up under the Patient Protection and Affordable Care Act, as amended by the Health Care and Education Reconciliation Act, or collectively, the ACA, or through an employer or union group health plan. Private insurance coverage policies can vary, and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w:t>
      </w:r>
    </w:p>
    <w:p>
      <w:pPr>
        <w:spacing w:after="0" w:line="123" w:lineRule="exact"/>
        <w:rPr>
          <w:sz w:val="20"/>
          <w:szCs w:val="20"/>
          <w:color w:val="auto"/>
        </w:rPr>
      </w:pPr>
    </w:p>
    <w:p>
      <w:pPr>
        <w:ind w:right="160" w:firstLine="309"/>
        <w:spacing w:after="0" w:line="270" w:lineRule="auto"/>
        <w:rPr>
          <w:sz w:val="20"/>
          <w:szCs w:val="20"/>
          <w:color w:val="auto"/>
        </w:rPr>
      </w:pPr>
      <w:r>
        <w:rPr>
          <w:rFonts w:ascii="Times New Roman" w:cs="Times New Roman" w:eastAsia="Times New Roman" w:hAnsi="Times New Roman"/>
          <w:sz w:val="17"/>
          <w:szCs w:val="17"/>
          <w:color w:val="auto"/>
        </w:rPr>
        <w:t>Any reduction in reimbursement rates for our products and procedures utilizing our products may adversely affect our customers’ businesses and cause them to enact cost reduction measures that may include reducing the scope of their programs, which could result in a reduced demand for our product or additional pricing pressures.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reform measures could hinder or prevent the commercial success of our products.</w:t>
      </w:r>
    </w:p>
    <w:p>
      <w:pPr>
        <w:spacing w:after="0" w:line="171" w:lineRule="exact"/>
        <w:rPr>
          <w:sz w:val="20"/>
          <w:szCs w:val="20"/>
          <w:color w:val="auto"/>
        </w:rPr>
      </w:pPr>
    </w:p>
    <w:p>
      <w:pPr>
        <w:jc w:val="both"/>
        <w:ind w:right="20" w:firstLine="309"/>
        <w:spacing w:after="0" w:line="264" w:lineRule="auto"/>
        <w:rPr>
          <w:sz w:val="20"/>
          <w:szCs w:val="20"/>
          <w:color w:val="auto"/>
        </w:rPr>
      </w:pPr>
      <w:r>
        <w:rPr>
          <w:rFonts w:ascii="Times New Roman" w:cs="Times New Roman" w:eastAsia="Times New Roman" w:hAnsi="Times New Roman"/>
          <w:sz w:val="17"/>
          <w:szCs w:val="17"/>
          <w:color w:val="auto"/>
        </w:rPr>
        <w:t>In the United States, there have been, and we expect there will continue to be, a number of legislative and regulatory changes to the healthcare system in ways that may harm our future revenues and profitability and the demand for our products. Federal and state lawmakers regularly propose and, at times, enact legislation that would result in significant changes to the healthcare system, some of which are intended to contain or reduce the costs of medical products and services. Current and future legislative and regulatory proposals to further reform healthcare or reduce healthcare costs may</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00"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By way of example, in the United States, the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numerous amendments to the ACA and revisions to implementing regulations, along with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an executive order was issued that initiated a special enrollment period for purposes of obtaining health insurance coverage through the ACA marketplace, from February 15, 2021 to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24"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ACA was enacted. For example, the Budget Control Act of 2011, among other things, and in connection with subsequent legislation, reduced Medicare payments to providers of, on average, 2% per fiscal year, which went into effect on April 1, 2013 and, due to subsequent legislative amendments to the statute, will remain in effect through 2032, with the exception of a temporary suspension from May 1, 2020 through March 31, 2022 and a 1% reduction from April 1, 2022 through June 30, 2022, unless additional Congressional action is taken.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w:t>
      </w:r>
    </w:p>
    <w:p>
      <w:pPr>
        <w:spacing w:after="0" w:line="122" w:lineRule="exact"/>
        <w:rPr>
          <w:sz w:val="20"/>
          <w:szCs w:val="20"/>
          <w:color w:val="auto"/>
        </w:rPr>
      </w:pPr>
    </w:p>
    <w:p>
      <w:pPr>
        <w:ind w:right="60" w:firstLine="309"/>
        <w:spacing w:after="0" w:line="287" w:lineRule="auto"/>
        <w:rPr>
          <w:sz w:val="20"/>
          <w:szCs w:val="20"/>
          <w:color w:val="auto"/>
        </w:rPr>
      </w:pPr>
      <w:r>
        <w:rPr>
          <w:rFonts w:ascii="Times New Roman" w:cs="Times New Roman" w:eastAsia="Times New Roman" w:hAnsi="Times New Roman"/>
          <w:sz w:val="17"/>
          <w:szCs w:val="17"/>
          <w:color w:val="auto"/>
        </w:rPr>
        <w:t>The continuing efforts of the government, insurance companies, managed care organizations and other payors of healthcare services to contain or reduce costs of healthcare may harm:</w:t>
      </w:r>
    </w:p>
    <w:p>
      <w:pPr>
        <w:spacing w:after="0" w:line="100"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prices that we believe is fair for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 and achieve or maintain profitability;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capital.</w:t>
      </w:r>
    </w:p>
    <w:p>
      <w:pPr>
        <w:spacing w:after="0" w:line="165" w:lineRule="exact"/>
        <w:rPr>
          <w:sz w:val="20"/>
          <w:szCs w:val="20"/>
          <w:color w:val="auto"/>
        </w:rPr>
      </w:pPr>
    </w:p>
    <w:p>
      <w:pPr>
        <w:ind w:right="40" w:firstLine="309"/>
        <w:spacing w:after="0" w:line="263" w:lineRule="auto"/>
        <w:rPr>
          <w:sz w:val="20"/>
          <w:szCs w:val="20"/>
          <w:color w:val="auto"/>
        </w:rPr>
      </w:pPr>
      <w:r>
        <w:rPr>
          <w:rFonts w:ascii="Times New Roman" w:cs="Times New Roman" w:eastAsia="Times New Roman" w:hAnsi="Times New Roman"/>
          <w:sz w:val="17"/>
          <w:szCs w:val="17"/>
          <w:color w:val="auto"/>
        </w:rPr>
        <w:t>The current presidential administration and Congress may continue to pursue significant changes to the current healthcare laws. We cannot predict what other laws and regulations will ultimately be enacted and implemented at the federal or state level or the effect of any future legislation or regulation in the United States on our business, financial condition, and results of operations. Future changes in healthcare policy could increase our costs and subject us to additional requirements that may interrupt commercialization of our current and future solutions, decrease our revenue and impact sales of and pricing for our current and future products.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must comply with anti-kickback, fraud and abuse, false claims, transparency, and other healthcare laws and regulations.</w:t>
      </w:r>
    </w:p>
    <w:p>
      <w:pPr>
        <w:spacing w:after="0" w:line="171"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Our current and future operations are subject to various federal and state healthcare laws and regulations. These laws affect our sales, marketing and other promotional activities by limiting the kinds of financial arrangements, including sales programs, we may have with hospitals, physicians or other potential purchasers or users, including patients, of medical devices and services. They also impose additional administrative and compliance burdens on us. In particular, these laws influence, among other things, how we structure our sales, placement and rental offerings, including discount practices, customer support, education and training programs and physician consulting and other service arrangements. The laws that affect our practices and arrangements include, but are not limited to:</w:t>
      </w:r>
    </w:p>
    <w:p>
      <w:pPr>
        <w:spacing w:after="0" w:line="123" w:lineRule="exact"/>
        <w:rPr>
          <w:sz w:val="20"/>
          <w:szCs w:val="20"/>
          <w:color w:val="auto"/>
        </w:rPr>
      </w:pPr>
    </w:p>
    <w:p>
      <w:pPr>
        <w:ind w:left="620" w:right="20" w:hanging="307"/>
        <w:spacing w:after="0" w:line="260"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 service, for which payment may be made, in whole or in part, under federal healthcare programs such as Medicare and Medicaid. The term “remuneration” has been broadly interpreted to include anything of value, and the government can establish a violation of the Anti-Kickback Statute without proving that a person or entity had actual knowledge of, or 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line="257" w:lineRule="auto"/>
        <w:rPr>
          <w:sz w:val="20"/>
          <w:szCs w:val="20"/>
          <w:color w:val="auto"/>
        </w:rPr>
      </w:pPr>
      <w:r>
        <w:rPr>
          <w:rFonts w:ascii="Times New Roman" w:cs="Times New Roman" w:eastAsia="Times New Roman" w:hAnsi="Times New Roman"/>
          <w:sz w:val="17"/>
          <w:szCs w:val="17"/>
          <w:color w:val="auto"/>
        </w:rPr>
        <w:t>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127" w:lineRule="exact"/>
        <w:rPr>
          <w:sz w:val="20"/>
          <w:szCs w:val="20"/>
          <w:color w:val="auto"/>
        </w:rPr>
      </w:pPr>
    </w:p>
    <w:p>
      <w:pPr>
        <w:ind w:left="620" w:right="20" w:hanging="307"/>
        <w:spacing w:after="0" w:line="255"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civil False Claims Act, which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False Claims Act. Actions under the False Claims Act may be brought by the government or as a qui tam action by a private individual in the name of the government and to share in any monetary recovery. Qui tam actions are filed under seal and impose a mandatory duty on the U.S. Department of Justice to investigate such allegations. False Claims Act liability is potentially significant in the healthcare industry because the statute provides for treble damages and significant mandatory penalties (adjusted annually for inflation) per false claim or statement for violations. Because of the potential for large monetary exposure, healthcare companies often resolve allegations for significant and sometimes large settlement amounts to avoid the uncertainty of treble damages and per claim penalties that may be awarded in litigation proceedings. Many device manufacturers have resolved investigations of alleged improper activities, including causing false claims to be submitted as a result of the marketing of their products for unapproved and thus non reimbursable uses, and other interactions with prescribers and other customers including those that may have affected their billing or coding practices and submission to the federal government. Moreover, to avoid the risk of exclusion from federal healthcare programs as a result of a False Claims Act settlement, companies may enter into corporate integrity agreements with the government, which may impose substantial costs on companies to ensure compliance. There are also criminal penalties, including imprisonment and criminal fines, for making or presenting a false or fictitious or fraudulent claim or statement to the federal government;</w:t>
      </w:r>
    </w:p>
    <w:p>
      <w:pPr>
        <w:spacing w:after="0" w:line="131" w:lineRule="exact"/>
        <w:rPr>
          <w:rFonts w:ascii="Times New Roman" w:cs="Times New Roman" w:eastAsia="Times New Roman" w:hAnsi="Times New Roman"/>
          <w:sz w:val="17"/>
          <w:szCs w:val="17"/>
          <w:color w:val="auto"/>
        </w:rPr>
      </w:pPr>
    </w:p>
    <w:p>
      <w:pPr>
        <w:ind w:left="620" w:right="40" w:hanging="307"/>
        <w:spacing w:after="0" w:line="260"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healthcare statutes that were added by HIPAA, and its implementing regulations,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121" w:lineRule="exact"/>
        <w:rPr>
          <w:rFonts w:ascii="Times New Roman" w:cs="Times New Roman" w:eastAsia="Times New Roman" w:hAnsi="Times New Roman"/>
          <w:sz w:val="17"/>
          <w:szCs w:val="17"/>
          <w:color w:val="auto"/>
        </w:rPr>
      </w:pPr>
    </w:p>
    <w:p>
      <w:pPr>
        <w:ind w:left="620" w:right="180" w:hanging="307"/>
        <w:spacing w:after="0" w:line="260"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or Sunshine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made in the preceding calendar year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and</w:t>
      </w:r>
    </w:p>
    <w:p>
      <w:pPr>
        <w:spacing w:after="0" w:line="121" w:lineRule="exact"/>
        <w:rPr>
          <w:rFonts w:ascii="Times New Roman" w:cs="Times New Roman" w:eastAsia="Times New Roman" w:hAnsi="Times New Roman"/>
          <w:sz w:val="17"/>
          <w:szCs w:val="17"/>
          <w:color w:val="auto"/>
        </w:rPr>
      </w:pPr>
    </w:p>
    <w:p>
      <w:pPr>
        <w:ind w:left="620" w:right="80" w:hanging="307"/>
        <w:spacing w:after="0" w:line="264"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and state laws and regulations, including state payment reporting, anti-kickback and false claims laws, that may apply to items or services reimbursed by any third-party payor, including private insurers; foreign and state laws that require medical device companies to comply with the medical device industry’s voluntary compliance guidelines and the relevant compliance guidance promulgated by the U.S. federal government and other national governments, or otherwise restrict payments that may be made to healthcare providers and other potential referral</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160"/>
        <w:spacing w:after="0" w:line="270" w:lineRule="auto"/>
        <w:rPr>
          <w:sz w:val="20"/>
          <w:szCs w:val="20"/>
          <w:color w:val="auto"/>
        </w:rPr>
      </w:pPr>
      <w:r>
        <w:rPr>
          <w:rFonts w:ascii="Times New Roman" w:cs="Times New Roman" w:eastAsia="Times New Roman" w:hAnsi="Times New Roman"/>
          <w:sz w:val="17"/>
          <w:szCs w:val="17"/>
          <w:color w:val="auto"/>
        </w:rPr>
        <w:t>sources; and foreign and state laws and regulations that require drug and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14" w:lineRule="exact"/>
        <w:rPr>
          <w:sz w:val="20"/>
          <w:szCs w:val="20"/>
          <w:color w:val="auto"/>
        </w:rPr>
      </w:pPr>
    </w:p>
    <w:p>
      <w:pPr>
        <w:ind w:right="20" w:firstLine="309"/>
        <w:spacing w:after="0" w:line="256" w:lineRule="auto"/>
        <w:rPr>
          <w:sz w:val="20"/>
          <w:szCs w:val="20"/>
          <w:color w:val="auto"/>
        </w:rPr>
      </w:pPr>
      <w:r>
        <w:rPr>
          <w:rFonts w:ascii="Times New Roman" w:cs="Times New Roman" w:eastAsia="Times New Roman" w:hAnsi="Times New Roman"/>
          <w:sz w:val="17"/>
          <w:szCs w:val="17"/>
          <w:color w:val="auto"/>
        </w:rPr>
        <w:t>The scope and enforcement of these laws is substantial and subject to rapid change. The shifting compliance environment and the need to build and maintain robust compliance programs,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 Because of the breadth of these laws and the narrowness of available statutory and regulatory exemptions or safe harbors, it is possible that some of our activities, such as stock-option compensation paid to physician consultants or our equipment placement practice, could be subject to challenge under one or more of such laws. Any government investigation, even if we are able to successfully defend against it, will require the expenditure of significant resources, is likely to generate negative publicity, harm our reputation and potentially our financial condition and divert the attention of our management. Moreover, any investigation into our practices could cause adverse publicity and require a costly and time-consuming response. If our operations are found to be in violation of any of these laws or any other governmental regulations that may apply to us, we may be subject to significant civil, criminal and administrative penalties, damages, fines, imprisonment of individuals, exclusion from government funded healthcare programs, such as Medicare and Medicaid, imposition of compliance obligations and monitoring, and the curtailment or restructuring of our operations. Any of the foregoing consequences could seriously harm our business and our financial results.</w:t>
      </w:r>
    </w:p>
    <w:p>
      <w:pPr>
        <w:spacing w:after="0" w:line="122" w:lineRule="exact"/>
        <w:rPr>
          <w:sz w:val="20"/>
          <w:szCs w:val="20"/>
          <w:color w:val="auto"/>
        </w:rPr>
      </w:pPr>
    </w:p>
    <w:p>
      <w:pPr>
        <w:jc w:val="both"/>
        <w:ind w:right="3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robotic systems and our operations are subject to extensive government regulation and oversight in the United States. If we fail to maintain necessary marketing authorizations for our robotic systems, or if approvals or clearances for future products or modifications to existing products are delayed or not issued, it will negatively affect our business, financial condition and results of operations.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robotic systems are medical devices subject to extensive regulation in the United States and elsewhere, including by the FDA and its foreign counterparts.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Government regulations specific to medical devices are wide ranging and govern, among other things:</w:t>
      </w:r>
    </w:p>
    <w:p>
      <w:pPr>
        <w:spacing w:after="0" w:line="149"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design, development, manufacture, and release;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and clinical testing, labeling, packaging, storage and distribution;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 and efficacy;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premarketing clearance or approval;</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operations, including relationships with healthcare providers;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 keeping;</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marketing, promotion and advertising, registration, sales and distribution;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post-marketing surveillance, including reporting of deaths or serious injuries and recalls and correction and removals;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approval studies;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import and export.</w:t>
      </w:r>
    </w:p>
    <w:p>
      <w:pPr>
        <w:spacing w:after="0" w:line="165"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w:t>
      </w:r>
    </w:p>
    <w:p>
      <w:pPr>
        <w:spacing w:after="0" w:line="123" w:lineRule="exact"/>
        <w:rPr>
          <w:sz w:val="20"/>
          <w:szCs w:val="20"/>
          <w:color w:val="auto"/>
        </w:rPr>
      </w:pPr>
    </w:p>
    <w:p>
      <w:pPr>
        <w:ind w:left="5700" w:right="1020" w:hanging="5387"/>
        <w:spacing w:after="0" w:line="983" w:lineRule="auto"/>
        <w:tabs>
          <w:tab w:leader="none" w:pos="62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warning letters, untitled letters, it has come to our attention letters, fines, injunctions, consent decrees and civil penalties;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repair, replacement, refunds, recall or seizure of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partial suspension or total shutdown of production;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denial of our requests for regulatory clearance or approval of new products, new intended uses or modifications to existing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or suspension of regulatory clearance or approval that have already been granted; or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any of these events were to occur, it will negatively affect our business, financial condition and results of operations.</w:t>
      </w:r>
    </w:p>
    <w:p>
      <w:pPr>
        <w:spacing w:after="0" w:line="165"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We may not receive, or may be delayed in receiving, the necessary clearances or approvals for our future products or modifications to our current products, and failure to timely obtain necessary clearances or approvals for our future products or modifications to our current products would adversely affect our ability to grow our business.</w:t>
      </w:r>
    </w:p>
    <w:p>
      <w:pPr>
        <w:spacing w:after="0" w:line="114" w:lineRule="exact"/>
        <w:rPr>
          <w:sz w:val="20"/>
          <w:szCs w:val="20"/>
          <w:color w:val="auto"/>
        </w:rPr>
      </w:pPr>
    </w:p>
    <w:p>
      <w:pPr>
        <w:ind w:right="240" w:firstLine="309"/>
        <w:spacing w:after="0" w:line="287" w:lineRule="auto"/>
        <w:rPr>
          <w:sz w:val="20"/>
          <w:szCs w:val="20"/>
          <w:color w:val="auto"/>
        </w:rPr>
      </w:pPr>
      <w:r>
        <w:rPr>
          <w:rFonts w:ascii="Times New Roman" w:cs="Times New Roman" w:eastAsia="Times New Roman" w:hAnsi="Times New Roman"/>
          <w:sz w:val="17"/>
          <w:szCs w:val="17"/>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w:t>
      </w:r>
    </w:p>
    <w:p>
      <w:pPr>
        <w:spacing w:after="0" w:line="100"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Class I includes devices with the lowest risk to the patient and are those for which safety and effectiveness can be assured by adherence to the FDA’s General Controls for medical devices, which include compliance with the applicable portions of the QMSR,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23"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premarket approval application, or PMA. Some pre-amendment devices are unclassified, but are subject to FDA’s premarket notification and clearance process in order to be commercially distributed. Our AquaBeam Robotic System is a Class II device that received De Novo approval, and our HYDROS Robotic System is a Class II device subject to 510(k) clearance.</w:t>
      </w:r>
    </w:p>
    <w:p>
      <w:pPr>
        <w:spacing w:after="0" w:line="128" w:lineRule="exact"/>
        <w:rPr>
          <w:sz w:val="20"/>
          <w:szCs w:val="20"/>
          <w:color w:val="auto"/>
        </w:rPr>
      </w:pPr>
    </w:p>
    <w:p>
      <w:pPr>
        <w:ind w:right="40" w:firstLine="309"/>
        <w:spacing w:after="0" w:line="257" w:lineRule="auto"/>
        <w:rPr>
          <w:sz w:val="20"/>
          <w:szCs w:val="20"/>
          <w:color w:val="auto"/>
        </w:rPr>
      </w:pPr>
      <w:r>
        <w:rPr>
          <w:rFonts w:ascii="Times New Roman" w:cs="Times New Roman" w:eastAsia="Times New Roman" w:hAnsi="Times New Roman"/>
          <w:sz w:val="17"/>
          <w:szCs w:val="17"/>
          <w:color w:val="auto"/>
        </w:rPr>
        <w:t>Before a new medical device, or a new intended use of, claim for, or significant modification to an existing device, can be marketed in the United States, a company must first submit an application for and receive either 510(k) clearance pursuant to a premarket notification submitted under Section 510(k) of the FDCA, de novo classification, or approval of a PMA from the FDA, unless an exemption applies. Most Class I devices and some Class II devices are exempt from these premarket review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27"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In the process of obtaining PMA approval the FDA must determine that a proposed device is safe and effective for its intended use based, in part, on extensive data, including, but not limited to, technical, clinical trial, manufacturing and labeling data.</w:t>
      </w:r>
    </w:p>
    <w:p>
      <w:pPr>
        <w:spacing w:after="0" w:line="100" w:lineRule="exact"/>
        <w:rPr>
          <w:sz w:val="20"/>
          <w:szCs w:val="20"/>
          <w:color w:val="auto"/>
        </w:rPr>
      </w:pPr>
    </w:p>
    <w:p>
      <w:pPr>
        <w:ind w:right="140" w:firstLine="309"/>
        <w:spacing w:after="0" w:line="264" w:lineRule="auto"/>
        <w:rPr>
          <w:sz w:val="20"/>
          <w:szCs w:val="20"/>
          <w:color w:val="auto"/>
        </w:rPr>
      </w:pPr>
      <w:r>
        <w:rPr>
          <w:rFonts w:ascii="Times New Roman" w:cs="Times New Roman" w:eastAsia="Times New Roman" w:hAnsi="Times New Roman"/>
          <w:sz w:val="17"/>
          <w:szCs w:val="17"/>
          <w:color w:val="auto"/>
        </w:rPr>
        <w:t>In the de novo classification process, a manufacturer whose novel device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The 510(k), de 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or de novo request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22" w:lineRule="exact"/>
        <w:rPr>
          <w:sz w:val="20"/>
          <w:szCs w:val="20"/>
          <w:color w:val="auto"/>
        </w:rPr>
      </w:pPr>
    </w:p>
    <w:p>
      <w:pPr>
        <w:ind w:right="40" w:firstLine="309"/>
        <w:spacing w:after="0" w:line="255" w:lineRule="auto"/>
        <w:rPr>
          <w:sz w:val="20"/>
          <w:szCs w:val="20"/>
          <w:color w:val="auto"/>
        </w:rPr>
      </w:pPr>
      <w:r>
        <w:rPr>
          <w:rFonts w:ascii="Times New Roman" w:cs="Times New Roman" w:eastAsia="Times New Roman" w:hAnsi="Times New Roman"/>
          <w:sz w:val="17"/>
          <w:szCs w:val="17"/>
          <w:color w:val="auto"/>
        </w:rPr>
        <w:t>We originally obtained de novo classification of our first generation AquaBeam Robotic System and have subsequently obtained 510(k) clearances for modifications to the system. In August 2024, we obtained FDA 501(k) clearance for our next-generation platform, the HYDROS Robotic System. Any future modifications to these robotic systems that has not been previously cleared may require us to submit a new 510(k) premarket notification and obtain clearance, or depending on the change, we may be required to submit a PMA and obtain FDA approval before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FDA or other regulators can delay, limit, or deny clearance or approval of a device for many reasons, including:</w:t>
      </w:r>
    </w:p>
    <w:p>
      <w:pPr>
        <w:spacing w:after="0" w:line="165" w:lineRule="exact"/>
        <w:rPr>
          <w:sz w:val="20"/>
          <w:szCs w:val="20"/>
          <w:color w:val="auto"/>
        </w:rPr>
      </w:pPr>
    </w:p>
    <w:p>
      <w:pPr>
        <w:ind w:left="620" w:right="6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demonstrate to the satisfaction of the FDA or the applicable regulatory entity or notified body that our robotic systems, or any other future device, and any accessories are substantially equivalent to a legally marketed predicate device or safe or effective for their proposed intended uses;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disagreement of the FDA with the design or implementation of any clinical trials or the interpretation of data from preclinical studies or clinical trials;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serious and unexpected adverse device effects experienced by participants in our clinical trials;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insufficiency of the data from preclinical studies or clinical trials to support clearance or approval, where required;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demonstrate that the clinical and other benefits of the device outweigh the risks;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our manufacturing process or facilities to meet applicable requirements; and</w:t>
      </w:r>
    </w:p>
    <w:p>
      <w:pPr>
        <w:spacing w:after="0" w:line="165" w:lineRule="exact"/>
        <w:rPr>
          <w:rFonts w:ascii="Times New Roman" w:cs="Times New Roman" w:eastAsia="Times New Roman" w:hAnsi="Times New Roman"/>
          <w:sz w:val="17"/>
          <w:szCs w:val="17"/>
          <w:color w:val="auto"/>
        </w:rPr>
      </w:pPr>
    </w:p>
    <w:p>
      <w:pPr>
        <w:ind w:left="620" w:right="34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9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p>
    <w:p>
      <w:pPr>
        <w:spacing w:after="0" w:line="112" w:lineRule="exact"/>
        <w:rPr>
          <w:sz w:val="20"/>
          <w:szCs w:val="20"/>
          <w:color w:val="auto"/>
        </w:rPr>
      </w:pPr>
    </w:p>
    <w:p>
      <w:pPr>
        <w:jc w:val="both"/>
        <w:ind w:right="240" w:firstLine="309"/>
        <w:spacing w:after="0" w:line="264" w:lineRule="auto"/>
        <w:rPr>
          <w:sz w:val="20"/>
          <w:szCs w:val="20"/>
          <w:color w:val="auto"/>
        </w:rPr>
      </w:pPr>
      <w:r>
        <w:rPr>
          <w:rFonts w:ascii="Times New Roman" w:cs="Times New Roman" w:eastAsia="Times New Roman" w:hAnsi="Times New Roman"/>
          <w:sz w:val="17"/>
          <w:szCs w:val="17"/>
          <w:color w:val="auto"/>
        </w:rPr>
        <w:t>It is important to our business that we build a pipeline of product offerings that address limitations of current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success of any new product offering or enhancement to an existing product will depend on a number of factors, including our ability to, among others:</w:t>
      </w:r>
    </w:p>
    <w:p>
      <w:pPr>
        <w:spacing w:after="0" w:line="165"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anticipate physician and patient needs properly;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introduce new products or product enhancements in a timely manner;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 infringing upon the intellectual property rights of third parties;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demonstrate, if required, the safety and efficacy of new products with data from clinical studies;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the necessary regulatory clearances or approvals for new products or product enhancements;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fully with the FDA and foreign regulations on marketing of new products or modified products;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adequate training to potential users of our robotic systems.</w:t>
      </w:r>
    </w:p>
    <w:p>
      <w:pPr>
        <w:spacing w:after="0" w:line="165" w:lineRule="exact"/>
        <w:rPr>
          <w:sz w:val="20"/>
          <w:szCs w:val="20"/>
          <w:color w:val="auto"/>
        </w:rPr>
      </w:pPr>
    </w:p>
    <w:p>
      <w:pPr>
        <w:ind w:right="820" w:firstLine="309"/>
        <w:spacing w:after="0" w:line="287" w:lineRule="auto"/>
        <w:rPr>
          <w:sz w:val="20"/>
          <w:szCs w:val="20"/>
          <w:color w:val="auto"/>
        </w:rPr>
      </w:pPr>
      <w:r>
        <w:rPr>
          <w:rFonts w:ascii="Times New Roman" w:cs="Times New Roman" w:eastAsia="Times New Roman" w:hAnsi="Times New Roman"/>
          <w:sz w:val="17"/>
          <w:szCs w:val="17"/>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100" w:lineRule="exact"/>
        <w:rPr>
          <w:sz w:val="20"/>
          <w:szCs w:val="20"/>
          <w:color w:val="auto"/>
        </w:rPr>
      </w:pPr>
    </w:p>
    <w:p>
      <w:pPr>
        <w:jc w:val="both"/>
        <w:ind w:right="120" w:firstLine="309"/>
        <w:spacing w:after="0" w:line="261" w:lineRule="auto"/>
        <w:rPr>
          <w:sz w:val="20"/>
          <w:szCs w:val="20"/>
          <w:color w:val="auto"/>
        </w:rPr>
      </w:pPr>
      <w:r>
        <w:rPr>
          <w:rFonts w:ascii="Times New Roman" w:cs="Times New Roman" w:eastAsia="Times New Roman" w:hAnsi="Times New Roman"/>
          <w:sz w:val="17"/>
          <w:szCs w:val="17"/>
          <w:color w:val="auto"/>
        </w:rPr>
        <w:t>We believe some of our future products will require FDA clearance of a 510(k). Other future products may require the approval of a PMA. In addition, some of our future products may require clinical trials to support marketing authorization and we may not successfully complete these clinical trials. The FDA may not approve or clear these products for the indications that are necessary or desirable for successful commercialization. Indeed, the FDA may refuse our requests for 510(k) clearance or PMA approval of new products. Failure to receive clearance or approval for our new products would have an adverse effect on our ability to expand our business.</w:t>
      </w:r>
    </w:p>
    <w:p>
      <w:pPr>
        <w:spacing w:after="0" w:line="117"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Modifications to our marketed products may require new 510(k) clearances, or may require us to cease marketing or recall the modified products until clearances or approvals are obtained.</w:t>
      </w:r>
    </w:p>
    <w:p>
      <w:pPr>
        <w:spacing w:after="0" w:line="94"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Modifications to our robotic systems and associated consumables may require new regulatory approvals or clearances, including 510(k) clearances,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and/or seek new marketing authorizations and harm our operating results. In these circumstances, we may be subject to significant enforcement actions.</w:t>
      </w:r>
    </w:p>
    <w:p>
      <w:pPr>
        <w:spacing w:after="0" w:line="127" w:lineRule="exact"/>
        <w:rPr>
          <w:sz w:val="20"/>
          <w:szCs w:val="20"/>
          <w:color w:val="auto"/>
        </w:rPr>
      </w:pPr>
    </w:p>
    <w:p>
      <w:pPr>
        <w:ind w:right="40" w:firstLine="309"/>
        <w:spacing w:after="0" w:line="261" w:lineRule="auto"/>
        <w:rPr>
          <w:sz w:val="20"/>
          <w:szCs w:val="20"/>
          <w:color w:val="auto"/>
        </w:rPr>
      </w:pPr>
      <w:r>
        <w:rPr>
          <w:rFonts w:ascii="Times New Roman" w:cs="Times New Roman" w:eastAsia="Times New Roman" w:hAnsi="Times New Roman"/>
          <w:sz w:val="17"/>
          <w:szCs w:val="17"/>
          <w:color w:val="auto"/>
        </w:rPr>
        <w:t>If a manufacturer determines that a modification to an FDA-cleared device could significantly affect its safety or effectiveness, or would constitute a major change in its intended use, then the manufacturer must apply for a new 510(k) clearance or possibly a PMA approval. If we determine that modifications to our products require a new 510(k) clearance or PMA application, we may not be able to obtain those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1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obtained marketing authorization for our products, 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112"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7"/>
          <w:szCs w:val="17"/>
          <w:color w:val="auto"/>
        </w:rPr>
        <w:t>Even though we have obtained marketing authorization for our robotic systems, it and any other product for which we obtain clearance or approval, and the manufacturing processes, post-market surveillance, post-approval clinical data and promotional activities for such product, are or, in the case of future products, will be, subject to continued regulatory review, oversight, requirements, and periodic inspections by the FDA and other domestic and foreign regulatory bodies. In particular, we and our suppliers are required to comply with FDA’s QMSR and other regulations enforced outside the United States which cover the manufacture of our products and the methods and documentation of the design, testing,</w:t>
      </w: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production, control, quality assurance, labeling, packaging, storage and shipping of medical devices. Regulatory bodies, such as the FDA, enforce the QMSR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20" w:lineRule="exact"/>
        <w:rPr>
          <w:sz w:val="20"/>
          <w:szCs w:val="20"/>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untitled letters, warning letters, fines, injunctions, consent decrees and civil penalties;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expenditures to address or defend such actions;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notifications for repair, replacement, refunds;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detention or seizure of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or delaying our requests for 510(k) clearance or PMA of new products or modified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510(k) clearances on PMA approvals that have already been granted;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grant export approval for our products; or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165" w:lineRule="exact"/>
        <w:rPr>
          <w:sz w:val="20"/>
          <w:szCs w:val="20"/>
          <w:color w:val="auto"/>
        </w:rPr>
      </w:pPr>
    </w:p>
    <w:p>
      <w:pPr>
        <w:ind w:right="180" w:firstLine="309"/>
        <w:spacing w:after="0" w:line="270" w:lineRule="auto"/>
        <w:rPr>
          <w:sz w:val="20"/>
          <w:szCs w:val="20"/>
          <w:color w:val="auto"/>
        </w:rPr>
      </w:pPr>
      <w:r>
        <w:rPr>
          <w:rFonts w:ascii="Times New Roman" w:cs="Times New Roman" w:eastAsia="Times New Roman" w:hAnsi="Times New Roman"/>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14"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QMSR,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2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16"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24" w:lineRule="exact"/>
        <w:rPr>
          <w:sz w:val="20"/>
          <w:szCs w:val="20"/>
          <w:color w:val="auto"/>
        </w:rPr>
      </w:pPr>
    </w:p>
    <w:p>
      <w:pPr>
        <w:ind w:right="140" w:firstLine="309"/>
        <w:spacing w:after="0" w:line="270" w:lineRule="auto"/>
        <w:rPr>
          <w:sz w:val="20"/>
          <w:szCs w:val="20"/>
          <w:color w:val="auto"/>
        </w:rPr>
      </w:pPr>
      <w:r>
        <w:rPr>
          <w:rFonts w:ascii="Times New Roman" w:cs="Times New Roman" w:eastAsia="Times New Roman" w:hAnsi="Times New Roman"/>
          <w:sz w:val="17"/>
          <w:szCs w:val="17"/>
          <w:color w:val="auto"/>
        </w:rPr>
        <w:t>The FDA and equivalent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20"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Depending on the corrective action we take to redress a product’s deficiencies or defects, the FDA and/or equivalent foreign regulatory bodies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23"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16"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products must be manufactured in accordance with federal and state regulations, and we could be forced to recall our devices or terminate production if we fail to comply with these regulations.</w:t>
      </w:r>
    </w:p>
    <w:p>
      <w:pPr>
        <w:spacing w:after="0" w:line="94" w:lineRule="exact"/>
        <w:rPr>
          <w:sz w:val="20"/>
          <w:szCs w:val="20"/>
          <w:color w:val="auto"/>
        </w:rPr>
      </w:pPr>
    </w:p>
    <w:p>
      <w:pPr>
        <w:ind w:right="80" w:firstLine="309"/>
        <w:spacing w:after="0" w:line="260" w:lineRule="auto"/>
        <w:rPr>
          <w:sz w:val="20"/>
          <w:szCs w:val="20"/>
          <w:color w:val="auto"/>
        </w:rPr>
      </w:pPr>
      <w:r>
        <w:rPr>
          <w:rFonts w:ascii="Times New Roman" w:cs="Times New Roman" w:eastAsia="Times New Roman" w:hAnsi="Times New Roman"/>
          <w:sz w:val="17"/>
          <w:szCs w:val="17"/>
          <w:color w:val="auto"/>
        </w:rPr>
        <w:t>The methods used in, and the facilities used for, the manufacture of our products must comply with the FDA’s QMSR,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QMSR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22"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We or our third-party manufacturers may not take the necessary steps to comply with applicable regulations, which could cause delays in the delivery of our products. For instance, in 2021 we initiated a voluntary recall for a limited number of lots of our handpiece due to certain issues related to our supply chain. We have remedied these issues as we developed our manufacturing processes to scale the production of our handpieces at a higher volume.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334" w:lineRule="exact"/>
        <w:rPr>
          <w:sz w:val="20"/>
          <w:szCs w:val="20"/>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products may in the future be subject to product recalls that could harm our reputation, business and financial results.</w:t>
      </w:r>
    </w:p>
    <w:p>
      <w:pPr>
        <w:spacing w:after="0" w:line="171"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corrections and removals be reported to the FDA within 10 working days after such correction or removal is initiated. Companies are required to maintain certain records of recalls, even if they are not reportable to the FDA. We may initiate voluntary recalls involving our current or future products, in the future that we determine do not require notification of the FDA. If the FDA disagrees with our determinations, they could require us to report those actions as recalls. Product recalls may divert management attention</w:t>
      </w:r>
    </w:p>
    <w:p>
      <w:pPr>
        <w:spacing w:after="0" w:line="200" w:lineRule="exact"/>
        <w:rPr>
          <w:sz w:val="20"/>
          <w:szCs w:val="20"/>
          <w:color w:val="auto"/>
        </w:rPr>
      </w:pPr>
    </w:p>
    <w:p>
      <w:pPr>
        <w:spacing w:after="0" w:line="3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and financial resources, expose us to product liability or other claims, harm our reputation with customers and adversely impact our business,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regulatory or enforcement actions if we engage in improper marketing or promotion of our products.</w:t>
      </w:r>
    </w:p>
    <w:p>
      <w:pPr>
        <w:spacing w:after="0" w:line="171"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our products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which could have an adverse impact on our reputation and financial results.</w:t>
      </w:r>
    </w:p>
    <w:p>
      <w:pPr>
        <w:spacing w:after="0" w:line="122"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our products, the FDA or another regulatory agency could disagree and conclude that we have engaged in off-label promotion. It is also possible that other federal, state or foreign enforcement authorities might take action, including, but not limited to, through a whistleblower action under the federal civil False Claims Act, or FCA, if they consider our business activities constitute promotion of an off-label use, which could result in significant penalties, including, but not limited to, criminal, civil or administrative penalties, treble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27" w:lineRule="exact"/>
        <w:rPr>
          <w:sz w:val="20"/>
          <w:szCs w:val="20"/>
          <w:color w:val="auto"/>
        </w:rPr>
      </w:pPr>
    </w:p>
    <w:p>
      <w:pPr>
        <w:ind w:right="60" w:firstLine="309"/>
        <w:spacing w:after="0" w:line="264" w:lineRule="auto"/>
        <w:rPr>
          <w:sz w:val="20"/>
          <w:szCs w:val="20"/>
          <w:color w:val="auto"/>
        </w:rPr>
      </w:pPr>
      <w:r>
        <w:rPr>
          <w:rFonts w:ascii="Times New Roman" w:cs="Times New Roman" w:eastAsia="Times New Roman" w:hAnsi="Times New Roman"/>
          <w:sz w:val="17"/>
          <w:szCs w:val="17"/>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are expensive to defend and could divert our management’s attention, result in substantial damage awards against us, and harm our reputation.</w:t>
      </w:r>
    </w:p>
    <w:p>
      <w:pPr>
        <w:spacing w:after="0" w:line="120" w:lineRule="exact"/>
        <w:rPr>
          <w:sz w:val="20"/>
          <w:szCs w:val="20"/>
          <w:color w:val="auto"/>
        </w:rPr>
      </w:pPr>
    </w:p>
    <w:p>
      <w:pPr>
        <w:ind w:right="260" w:firstLine="309"/>
        <w:spacing w:after="0" w:line="287" w:lineRule="auto"/>
        <w:rPr>
          <w:sz w:val="20"/>
          <w:szCs w:val="20"/>
          <w:color w:val="auto"/>
        </w:rPr>
      </w:pPr>
      <w:r>
        <w:rPr>
          <w:rFonts w:ascii="Times New Roman" w:cs="Times New Roman" w:eastAsia="Times New Roman" w:hAnsi="Times New Roman"/>
          <w:sz w:val="17"/>
          <w:szCs w:val="17"/>
          <w:color w:val="auto"/>
        </w:rPr>
        <w:t>Product liability claims are expensive to defend and could divert our management’s attention, result in substantial damage awards against us, and harm our reputation.</w:t>
      </w:r>
    </w:p>
    <w:p>
      <w:pPr>
        <w:spacing w:after="0" w:line="94"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Legislative or regulatory reforms may make it more difficult and costly for us to obtain regulatory clearance or approval of any future products and to manufacture, market and distribute our products after clearance or approval is obtained.</w:t>
      </w:r>
    </w:p>
    <w:p>
      <w:pPr>
        <w:spacing w:after="0" w:line="94"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22"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For example, on February 22, 2024, the FDA finalized a rule amending the Quality System Regulation, or QSR, which establishes current good manufacturing practice requirements for medical device manufacturers, to align more closely with the International Organization for Standardization, or ISO, standards. The rule, called the Quality Management System Regulation, or QMSR, became effective in February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60" w:firstLine="309"/>
        <w:spacing w:after="0" w:line="264" w:lineRule="auto"/>
        <w:rPr>
          <w:sz w:val="20"/>
          <w:szCs w:val="20"/>
          <w:color w:val="auto"/>
        </w:rPr>
      </w:pPr>
      <w:r>
        <w:rPr>
          <w:rFonts w:ascii="Times New Roman" w:cs="Times New Roman" w:eastAsia="Times New Roman" w:hAnsi="Times New Roman"/>
          <w:sz w:val="17"/>
          <w:szCs w:val="17"/>
          <w:color w:val="auto"/>
        </w:rPr>
        <w:t>Moreover, any change in the laws or regulations pursued by the current presidential administration and Congress that govern the clearance and approval processes relating to our current and future products, including with respect to FDA regulations,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20" w:lineRule="exact"/>
        <w:rPr>
          <w:sz w:val="20"/>
          <w:szCs w:val="20"/>
          <w:color w:val="auto"/>
        </w:rPr>
      </w:pPr>
    </w:p>
    <w:p>
      <w:pPr>
        <w:jc w:val="both"/>
        <w:ind w:right="200" w:firstLine="309"/>
        <w:spacing w:after="0" w:line="270" w:lineRule="auto"/>
        <w:rPr>
          <w:sz w:val="20"/>
          <w:szCs w:val="20"/>
          <w:color w:val="auto"/>
        </w:rPr>
      </w:pPr>
      <w:r>
        <w:rPr>
          <w:rFonts w:ascii="Times New Roman" w:cs="Times New Roman" w:eastAsia="Times New Roman" w:hAnsi="Times New Roman"/>
          <w:sz w:val="17"/>
          <w:szCs w:val="17"/>
          <w:color w:val="auto"/>
        </w:rPr>
        <w:t>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14" w:lineRule="exact"/>
        <w:rPr>
          <w:sz w:val="20"/>
          <w:szCs w:val="20"/>
          <w:color w:val="auto"/>
        </w:rPr>
      </w:pPr>
    </w:p>
    <w:p>
      <w:pPr>
        <w:ind w:right="600" w:firstLine="309"/>
        <w:spacing w:after="0" w:line="287" w:lineRule="auto"/>
        <w:rPr>
          <w:sz w:val="20"/>
          <w:szCs w:val="20"/>
          <w:color w:val="auto"/>
        </w:rPr>
      </w:pPr>
      <w:r>
        <w:rPr>
          <w:rFonts w:ascii="Times New Roman" w:cs="Times New Roman" w:eastAsia="Times New Roman" w:hAnsi="Times New Roman"/>
          <w:sz w:val="17"/>
          <w:szCs w:val="17"/>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112"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Initiating and completing clinical trials necessary to support any future PMA applications or de novo requests, or to provide additional safety and efficacy data beyond those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130" w:lineRule="exact"/>
        <w:rPr>
          <w:sz w:val="20"/>
          <w:szCs w:val="20"/>
          <w:color w:val="auto"/>
        </w:rPr>
      </w:pPr>
    </w:p>
    <w:p>
      <w:pPr>
        <w:ind w:right="280" w:firstLine="309"/>
        <w:spacing w:after="0" w:line="270" w:lineRule="auto"/>
        <w:rPr>
          <w:sz w:val="20"/>
          <w:szCs w:val="20"/>
          <w:color w:val="auto"/>
        </w:rPr>
      </w:pPr>
      <w:r>
        <w:rPr>
          <w:rFonts w:ascii="Times New Roman" w:cs="Times New Roman" w:eastAsia="Times New Roman" w:hAnsi="Times New Roman"/>
          <w:sz w:val="17"/>
          <w:szCs w:val="17"/>
          <w:color w:val="auto"/>
        </w:rPr>
        <w:t>The initiation and completion of any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14" w:lineRule="exact"/>
        <w:rPr>
          <w:sz w:val="20"/>
          <w:szCs w:val="20"/>
          <w:color w:val="auto"/>
        </w:rPr>
      </w:pPr>
    </w:p>
    <w:p>
      <w:pPr>
        <w:ind w:left="620" w:right="240" w:hanging="307"/>
        <w:spacing w:after="0" w:line="287"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submit an investigational device exemption application, or IDE, to the FDA, which must become effective prior to commencing certain human clinical trials of medical devices, and the FDA may reject our IDE and notify us that we may not begin clinical trials;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and other comparable foreign regulatory authorities may disagree as to the design or implementation of our clinical trials;</w:t>
      </w:r>
    </w:p>
    <w:p>
      <w:pPr>
        <w:spacing w:after="0" w:line="165"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and/or an Institutional Review Board, or IRB, or other reviewing bodies may not authorize us or our investigators to commence a clinical trial, or to conduct or continue a clinical trial at a prospective or specific trial site;</w:t>
      </w:r>
    </w:p>
    <w:p>
      <w:pPr>
        <w:spacing w:after="0" w:line="99" w:lineRule="exact"/>
        <w:rPr>
          <w:rFonts w:ascii="Times New Roman" w:cs="Times New Roman" w:eastAsia="Times New Roman" w:hAnsi="Times New Roman"/>
          <w:sz w:val="17"/>
          <w:szCs w:val="17"/>
          <w:color w:val="auto"/>
        </w:rPr>
      </w:pPr>
    </w:p>
    <w:p>
      <w:pPr>
        <w:ind w:left="620" w:right="260" w:hanging="307"/>
        <w:spacing w:after="0" w:line="287"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99" w:lineRule="exact"/>
        <w:rPr>
          <w:rFonts w:ascii="Times New Roman" w:cs="Times New Roman" w:eastAsia="Times New Roman" w:hAnsi="Times New Roman"/>
          <w:sz w:val="17"/>
          <w:szCs w:val="17"/>
          <w:color w:val="auto"/>
        </w:rPr>
      </w:pPr>
    </w:p>
    <w:p>
      <w:pPr>
        <w:ind w:left="620" w:right="500" w:hanging="307"/>
        <w:spacing w:after="0" w:line="287"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may produce negative or inconclusive results, and we may decide, or regulators may require us, to conduct additional clinical trials or abandon product development programs;</w:t>
      </w:r>
    </w:p>
    <w:p>
      <w:pPr>
        <w:spacing w:after="0" w:line="99" w:lineRule="exact"/>
        <w:rPr>
          <w:rFonts w:ascii="Times New Roman" w:cs="Times New Roman" w:eastAsia="Times New Roman" w:hAnsi="Times New Roman"/>
          <w:sz w:val="17"/>
          <w:szCs w:val="17"/>
          <w:color w:val="auto"/>
        </w:rPr>
      </w:pPr>
    </w:p>
    <w:p>
      <w:pPr>
        <w:ind w:left="620" w:right="200" w:hanging="307"/>
        <w:spacing w:after="0" w:line="270"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620" w:hanging="307"/>
        <w:spacing w:after="0" w:line="287"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99" w:lineRule="exact"/>
        <w:rPr>
          <w:rFonts w:ascii="Times New Roman" w:cs="Times New Roman" w:eastAsia="Times New Roman" w:hAnsi="Times New Roman"/>
          <w:sz w:val="17"/>
          <w:szCs w:val="17"/>
          <w:color w:val="auto"/>
        </w:rPr>
      </w:pPr>
    </w:p>
    <w:p>
      <w:pPr>
        <w:ind w:left="620" w:right="260" w:hanging="307"/>
        <w:spacing w:after="0" w:line="287"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have to suspend or terminate clinical trials for various reasons, including a finding that the subjects are being exposed to unacceptable health risks;</w:t>
      </w:r>
    </w:p>
    <w:p>
      <w:pPr>
        <w:spacing w:after="0" w:line="99" w:lineRule="exact"/>
        <w:rPr>
          <w:rFonts w:ascii="Times New Roman" w:cs="Times New Roman" w:eastAsia="Times New Roman" w:hAnsi="Times New Roman"/>
          <w:sz w:val="17"/>
          <w:szCs w:val="17"/>
          <w:color w:val="auto"/>
        </w:rPr>
      </w:pPr>
    </w:p>
    <w:p>
      <w:pPr>
        <w:ind w:left="620" w:right="200" w:hanging="307"/>
        <w:spacing w:after="0" w:line="287"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99" w:lineRule="exact"/>
        <w:rPr>
          <w:rFonts w:ascii="Times New Roman" w:cs="Times New Roman" w:eastAsia="Times New Roman" w:hAnsi="Times New Roman"/>
          <w:sz w:val="17"/>
          <w:szCs w:val="17"/>
          <w:color w:val="auto"/>
        </w:rPr>
      </w:pPr>
    </w:p>
    <w:p>
      <w:pPr>
        <w:ind w:left="620" w:right="500" w:hanging="307"/>
        <w:spacing w:after="0" w:line="287"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IRBs, or other parties may require or recommend that we or our investigators suspend or terminate clinical research for various reasons, including safety signals or noncompliance with regulatory requirements;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may be greater than we anticipate;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sites may not adhere to the clinical protocol or may drop out of a clinical trial;</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recruit a sufficient number of clinical trial sites;</w:t>
      </w:r>
    </w:p>
    <w:p>
      <w:pPr>
        <w:spacing w:after="0" w:line="165" w:lineRule="exact"/>
        <w:rPr>
          <w:rFonts w:ascii="Times New Roman" w:cs="Times New Roman" w:eastAsia="Times New Roman" w:hAnsi="Times New Roman"/>
          <w:sz w:val="17"/>
          <w:szCs w:val="17"/>
          <w:color w:val="auto"/>
        </w:rPr>
      </w:pPr>
    </w:p>
    <w:p>
      <w:pPr>
        <w:jc w:val="both"/>
        <w:ind w:left="620" w:right="320" w:hanging="307"/>
        <w:spacing w:after="0" w:line="270"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13" w:lineRule="exact"/>
        <w:rPr>
          <w:rFonts w:ascii="Times New Roman" w:cs="Times New Roman" w:eastAsia="Times New Roman" w:hAnsi="Times New Roman"/>
          <w:sz w:val="17"/>
          <w:szCs w:val="17"/>
          <w:color w:val="auto"/>
        </w:rPr>
      </w:pPr>
    </w:p>
    <w:p>
      <w:pPr>
        <w:ind w:left="620" w:right="220" w:hanging="307"/>
        <w:spacing w:after="0" w:line="287"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policies or regulations of the FDA or equivalent foreign regulatory authorities may change in a manner rendering our clinical data insufficient for approval;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or future products may have undesirable side effects or other unexpected characteristics.</w:t>
      </w:r>
    </w:p>
    <w:p>
      <w:pPr>
        <w:spacing w:after="0" w:line="165"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00"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Clinical trials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w:t>
      </w:r>
    </w:p>
    <w:p>
      <w:pPr>
        <w:spacing w:after="0" w:line="127"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in accordance with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22" w:lineRule="exact"/>
        <w:rPr>
          <w:sz w:val="20"/>
          <w:szCs w:val="20"/>
          <w:color w:val="auto"/>
        </w:rPr>
      </w:pPr>
    </w:p>
    <w:p>
      <w:pPr>
        <w:ind w:right="120" w:firstLine="309"/>
        <w:spacing w:after="0" w:line="264" w:lineRule="auto"/>
        <w:rPr>
          <w:sz w:val="20"/>
          <w:szCs w:val="20"/>
          <w:color w:val="auto"/>
        </w:rPr>
      </w:pPr>
      <w:r>
        <w:rPr>
          <w:rFonts w:ascii="Times New Roman" w:cs="Times New Roman" w:eastAsia="Times New Roman" w:hAnsi="Times New Roman"/>
          <w:sz w:val="17"/>
          <w:szCs w:val="17"/>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10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third parties on which we rely to conduct our clinical trials and to assist us with pre-clinical development do not perform as required or expected, we may not be able to obtain regulatory clearance or approval for or commercialize our products.</w:t>
      </w:r>
    </w:p>
    <w:p>
      <w:pPr>
        <w:spacing w:after="0" w:line="94" w:lineRule="exact"/>
        <w:rPr>
          <w:sz w:val="20"/>
          <w:szCs w:val="20"/>
          <w:color w:val="auto"/>
        </w:rPr>
      </w:pPr>
    </w:p>
    <w:p>
      <w:pPr>
        <w:ind w:right="80" w:firstLine="309"/>
        <w:spacing w:after="0" w:line="260" w:lineRule="auto"/>
        <w:rPr>
          <w:sz w:val="20"/>
          <w:szCs w:val="20"/>
          <w:color w:val="auto"/>
        </w:rPr>
      </w:pPr>
      <w:r>
        <w:rPr>
          <w:rFonts w:ascii="Times New Roman" w:cs="Times New Roman" w:eastAsia="Times New Roman" w:hAnsi="Times New Roman"/>
          <w:sz w:val="17"/>
          <w:szCs w:val="17"/>
          <w:color w:val="auto"/>
        </w:rPr>
        <w:t>We may not have the ability to independently conduct our pre-clinical and clinical trials for our future products and we may need to rely on third parties, such as CROs, medical institutions, collaborators, clinical investigators and contract laboratories to conduct such trials.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products in clinical development. Regulatory authorities enforce these GCP requirements through periodic inspections of trial sponsors, principal investigators and trial sites.</w:t>
      </w:r>
    </w:p>
    <w:p>
      <w:pPr>
        <w:spacing w:after="0" w:line="122"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If we or any of these third parties fail to comply with applicable GCP regulations, the clinical data generated in our clinical trials may be deemed unreliable and the FDA or comparable foreign regulatory authorities may require us to perform additional clinical trials before clearing or approving our marketing applications. We cannot assure you that, upon inspection, such regulatory authorities will determine that any of our future clinical trials complies with the GCP regulations.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we may be affected by increased costs, program delays or both, any resulting data may be unreliable or unusable for regulatory purposes, and we may be subject to enforcement action.</w:t>
      </w:r>
    </w:p>
    <w:p>
      <w:pPr>
        <w:spacing w:after="0" w:line="122"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7"/>
          <w:szCs w:val="17"/>
          <w:color w:val="auto"/>
        </w:rPr>
        <w:t>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1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16"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23" w:lineRule="exact"/>
        <w:rPr>
          <w:sz w:val="20"/>
          <w:szCs w:val="20"/>
          <w:color w:val="auto"/>
        </w:rPr>
      </w:pPr>
    </w:p>
    <w:p>
      <w:pPr>
        <w:ind w:right="200" w:firstLine="309"/>
        <w:spacing w:after="0" w:line="270"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product applications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14" w:lineRule="exact"/>
        <w:rPr>
          <w:sz w:val="20"/>
          <w:szCs w:val="20"/>
          <w:color w:val="auto"/>
        </w:rPr>
      </w:pPr>
    </w:p>
    <w:p>
      <w:pPr>
        <w:jc w:val="both"/>
        <w:ind w:right="120" w:firstLine="309"/>
        <w:spacing w:after="0" w:line="270" w:lineRule="auto"/>
        <w:rPr>
          <w:sz w:val="20"/>
          <w:szCs w:val="20"/>
          <w:color w:val="auto"/>
        </w:rPr>
      </w:pPr>
      <w:r>
        <w:rPr>
          <w:rFonts w:ascii="Times New Roman" w:cs="Times New Roman" w:eastAsia="Times New Roman" w:hAnsi="Times New Roman"/>
          <w:sz w:val="17"/>
          <w:szCs w:val="17"/>
          <w:color w:val="auto"/>
        </w:rPr>
        <w:t>If a prolonged government shutdown occurs, or if any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94" w:lineRule="exact"/>
        <w:rPr>
          <w:sz w:val="20"/>
          <w:szCs w:val="20"/>
          <w:color w:val="auto"/>
        </w:rPr>
      </w:pPr>
    </w:p>
    <w:p>
      <w:pPr>
        <w:ind w:right="140" w:firstLine="309"/>
        <w:spacing w:after="0" w:line="287" w:lineRule="auto"/>
        <w:rPr>
          <w:sz w:val="20"/>
          <w:szCs w:val="20"/>
          <w:color w:val="auto"/>
        </w:rPr>
      </w:pPr>
      <w:r>
        <w:rPr>
          <w:rFonts w:ascii="Times New Roman" w:cs="Times New Roman" w:eastAsia="Times New Roman" w:hAnsi="Times New Roman"/>
          <w:sz w:val="17"/>
          <w:szCs w:val="17"/>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100"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requirements, including those laws requiring the reporting of true, complete and accurate information to the FDA authorities;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standards;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healthcare fraud and abuse laws and regulations; or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that require the true, complete and accurate reporting of financial information or data.</w:t>
      </w:r>
    </w:p>
    <w:p>
      <w:pPr>
        <w:spacing w:after="0" w:line="165" w:lineRule="exact"/>
        <w:rPr>
          <w:sz w:val="20"/>
          <w:szCs w:val="20"/>
          <w:color w:val="auto"/>
        </w:rPr>
      </w:pPr>
    </w:p>
    <w:p>
      <w:pPr>
        <w:ind w:right="160" w:firstLine="309"/>
        <w:spacing w:after="0" w:line="260" w:lineRule="auto"/>
        <w:rPr>
          <w:sz w:val="20"/>
          <w:szCs w:val="20"/>
          <w:color w:val="auto"/>
        </w:rPr>
      </w:pPr>
      <w:r>
        <w:rPr>
          <w:rFonts w:ascii="Times New Roman" w:cs="Times New Roman" w:eastAsia="Times New Roman" w:hAnsi="Times New Roman"/>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spacing w:after="0" w:line="122"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must comply with environmental and occupational safety laws.</w:t>
      </w:r>
    </w:p>
    <w:p>
      <w:pPr>
        <w:spacing w:after="0" w:line="171" w:lineRule="exact"/>
        <w:rPr>
          <w:sz w:val="20"/>
          <w:szCs w:val="20"/>
          <w:color w:val="auto"/>
        </w:rPr>
      </w:pPr>
    </w:p>
    <w:p>
      <w:pPr>
        <w:ind w:right="200" w:firstLine="309"/>
        <w:spacing w:after="0" w:line="264" w:lineRule="auto"/>
        <w:rPr>
          <w:sz w:val="20"/>
          <w:szCs w:val="20"/>
          <w:color w:val="auto"/>
        </w:rPr>
      </w:pPr>
      <w:r>
        <w:rPr>
          <w:rFonts w:ascii="Times New Roman" w:cs="Times New Roman" w:eastAsia="Times New Roman" w:hAnsi="Times New Roman"/>
          <w:sz w:val="17"/>
          <w:szCs w:val="17"/>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to obtain, maintain and protect our intellectual property and failure to do so may adversely impact our competitive position.</w:t>
      </w:r>
    </w:p>
    <w:p>
      <w:pPr>
        <w:spacing w:after="0" w:line="171" w:lineRule="exact"/>
        <w:rPr>
          <w:sz w:val="20"/>
          <w:szCs w:val="20"/>
          <w:color w:val="auto"/>
        </w:rPr>
      </w:pPr>
    </w:p>
    <w:p>
      <w:pPr>
        <w:ind w:right="180" w:firstLine="309"/>
        <w:spacing w:after="0" w:line="261" w:lineRule="auto"/>
        <w:rPr>
          <w:sz w:val="20"/>
          <w:szCs w:val="20"/>
          <w:color w:val="auto"/>
        </w:rPr>
      </w:pPr>
      <w:r>
        <w:rPr>
          <w:rFonts w:ascii="Times New Roman" w:cs="Times New Roman" w:eastAsia="Times New Roman" w:hAnsi="Times New Roman"/>
          <w:sz w:val="17"/>
          <w:szCs w:val="17"/>
          <w:color w:val="auto"/>
        </w:rPr>
        <w:t>Our commercial success and ability to compete will depend in part in our ability to obtain, maintain and enforce issued patents, trademark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123" w:lineRule="exact"/>
        <w:rPr>
          <w:sz w:val="20"/>
          <w:szCs w:val="20"/>
          <w:color w:val="auto"/>
        </w:rPr>
      </w:pPr>
    </w:p>
    <w:p>
      <w:pPr>
        <w:ind w:right="760" w:firstLine="309"/>
        <w:spacing w:after="0" w:line="287" w:lineRule="auto"/>
        <w:rPr>
          <w:sz w:val="20"/>
          <w:szCs w:val="20"/>
          <w:color w:val="auto"/>
        </w:rPr>
      </w:pPr>
      <w:r>
        <w:rPr>
          <w:rFonts w:ascii="Times New Roman" w:cs="Times New Roman" w:eastAsia="Times New Roman" w:hAnsi="Times New Roman"/>
          <w:sz w:val="17"/>
          <w:szCs w:val="17"/>
          <w:color w:val="auto"/>
        </w:rPr>
        <w:t>We rely on a combination of contractual provisions, confidentiality procedures and patent, trade secret, copyright and trademark laws to protect our proprietary technology, products, services, brands, trade secrets, know-how and data and</w:t>
      </w:r>
    </w:p>
    <w:p>
      <w:pPr>
        <w:spacing w:after="0" w:line="200" w:lineRule="exact"/>
        <w:rPr>
          <w:sz w:val="20"/>
          <w:szCs w:val="20"/>
          <w:color w:val="auto"/>
        </w:rPr>
      </w:pP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prevent others from duplicating our robotic systems or its disposable components, and our other current and future products, services and technology. However, these legal means afford only limited protection and may not:</w:t>
      </w:r>
    </w:p>
    <w:p>
      <w:pPr>
        <w:spacing w:after="0" w:line="100" w:lineRule="exact"/>
        <w:rPr>
          <w:sz w:val="20"/>
          <w:szCs w:val="20"/>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others from duplicating our robotic systems or its disposable components, and our other current and future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others from gaining access to our proprietary information and technology; or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us to gain or maintain a competitive advantage.</w:t>
      </w:r>
    </w:p>
    <w:p>
      <w:pPr>
        <w:spacing w:after="0" w:line="165" w:lineRule="exact"/>
        <w:rPr>
          <w:sz w:val="20"/>
          <w:szCs w:val="20"/>
          <w:color w:val="auto"/>
        </w:rPr>
      </w:pPr>
    </w:p>
    <w:p>
      <w:pPr>
        <w:ind w:right="40" w:firstLine="309"/>
        <w:spacing w:after="0" w:line="270" w:lineRule="auto"/>
        <w:rPr>
          <w:sz w:val="20"/>
          <w:szCs w:val="20"/>
          <w:color w:val="auto"/>
        </w:rPr>
      </w:pPr>
      <w:r>
        <w:rPr>
          <w:rFonts w:ascii="Times New Roman" w:cs="Times New Roman" w:eastAsia="Times New Roman" w:hAnsi="Times New Roman"/>
          <w:sz w:val="17"/>
          <w:szCs w:val="17"/>
          <w:color w:val="auto"/>
        </w:rPr>
        <w:t>Our success will depend, in part, on preserving our trade secrets, maintaining the security of our data and know-how, appropriately incorporating AI tools,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11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products and services, and may not provide an adequate remedy if our intellectual property rights are infringed, misappropriated or otherwise violated, including in connection with our use of AI, as intellectual property protection in the field of AI is evolving and there is uncertainty regarding the degree and extent of protection that may be available for AI technologies and related system inputs and outputs.</w:t>
      </w:r>
    </w:p>
    <w:p>
      <w:pPr>
        <w:spacing w:after="0" w:line="128" w:lineRule="exact"/>
        <w:rPr>
          <w:sz w:val="20"/>
          <w:szCs w:val="20"/>
          <w:color w:val="auto"/>
        </w:rPr>
      </w:pPr>
    </w:p>
    <w:p>
      <w:pPr>
        <w:ind w:right="20" w:firstLine="309"/>
        <w:spacing w:after="0" w:line="255" w:lineRule="auto"/>
        <w:rPr>
          <w:sz w:val="20"/>
          <w:szCs w:val="20"/>
          <w:color w:val="auto"/>
        </w:rPr>
      </w:pPr>
      <w:r>
        <w:rPr>
          <w:rFonts w:ascii="Times New Roman" w:cs="Times New Roman" w:eastAsia="Times New Roman" w:hAnsi="Times New Roman"/>
          <w:sz w:val="17"/>
          <w:szCs w:val="17"/>
          <w:color w:val="auto"/>
        </w:rPr>
        <w:t>We rely in part on our portfolio of issued patents and pending patent applications in the United States and other countries to protect our intellectual property and competitive position. However,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It is also possible that we will fail to identify patentable aspects of inventions made in the course of our development, manufacture and commercialization activities before it is too late to obtain patent protection on them. If we fail to timely file for a patent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to sell or sell patented products, we may not accurately predict all of the countries where patent protection will ultimately be desirable. Furthermore, the issuance of a patent does not give us the right to practice the patented invention. Third parties may have blocking patents that could prevent us from manufacturing and/or commercializing our own products or services, or otherwise practicing our own technology. Any of these outcomes could impair our ability to prevent competition from third parties, which may have an adverse impact on our business.</w:t>
      </w:r>
    </w:p>
    <w:p>
      <w:pPr>
        <w:spacing w:after="0" w:line="128" w:lineRule="exact"/>
        <w:rPr>
          <w:sz w:val="20"/>
          <w:szCs w:val="20"/>
          <w:color w:val="auto"/>
        </w:rPr>
      </w:pPr>
    </w:p>
    <w:p>
      <w:pPr>
        <w:ind w:firstLine="309"/>
        <w:spacing w:after="0" w:line="259" w:lineRule="auto"/>
        <w:rPr>
          <w:sz w:val="20"/>
          <w:szCs w:val="20"/>
          <w:color w:val="auto"/>
        </w:rPr>
      </w:pPr>
      <w:r>
        <w:rPr>
          <w:rFonts w:ascii="Times New Roman" w:cs="Times New Roman" w:eastAsia="Times New Roman" w:hAnsi="Times New Roman"/>
          <w:sz w:val="17"/>
          <w:szCs w:val="17"/>
          <w:color w:val="auto"/>
        </w:rPr>
        <w:t>The patent positions of medical device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patent application can be significantly reduced before the patent is issued. The scope of a patent may also be reinterpreted after issuance. The rights that may be granted under our future issued patents may not provide us with the proprietary protection or competitive advantages we are seeking.</w:t>
      </w:r>
    </w:p>
    <w:p>
      <w:pPr>
        <w:spacing w:after="0" w:line="100"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The requirements for patentability may differ in certain countries, particularly in developing countries. The laws of some foreign countries may not protect our patent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sufficient patent protection to develop their own products or may export otherwise infringing products to territories where we have patent protection, but enforcement is not as strong as that in the United States. These products may compete with our products, and our patents rights may not be effective or sufficient to prevent them from competing. We cannot offer any assurances that the breadth of our granted patents will be sufficient to stop a competitor from developing, manufacturing and commercializing a product or a service in a non-infringing manner that would be competitive with one or more of our products or services,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124" w:lineRule="exact"/>
        <w:rPr>
          <w:sz w:val="20"/>
          <w:szCs w:val="20"/>
          <w:color w:val="auto"/>
        </w:rPr>
      </w:pPr>
    </w:p>
    <w:p>
      <w:pPr>
        <w:ind w:right="40" w:firstLine="309"/>
        <w:spacing w:after="0" w:line="261" w:lineRule="auto"/>
        <w:rPr>
          <w:sz w:val="20"/>
          <w:szCs w:val="20"/>
          <w:color w:val="auto"/>
        </w:rPr>
      </w:pPr>
      <w:r>
        <w:rPr>
          <w:rFonts w:ascii="Times New Roman" w:cs="Times New Roman" w:eastAsia="Times New Roman" w:hAnsi="Times New Roman"/>
          <w:sz w:val="17"/>
          <w:szCs w:val="17"/>
          <w:color w:val="auto"/>
        </w:rPr>
        <w:t>Patents have a limited lifespan. In the United States, the natural expiration of a utility patent is generally 20 years from the earliest effective non-provisional filing date. Further, if we encounter delays in any future regulatory approvals, the period of time during which we could market a product or a service under patent protection could be reduced, and, given the amount of time required for the development, testing and regulatory review of planned or future products or services, patents protecting such products or services might expire before or shortly after such products or services are commercialized. As a result, our patent rights may not provide us with sufficient rights to exclude others from manufacturing or commercializing products or services similar or identical to ours.</w:t>
      </w:r>
    </w:p>
    <w:p>
      <w:pPr>
        <w:spacing w:after="0" w:line="123"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If we are unable to obtain, maintain and enforce our issued patent, trademarks and other intellectual property rights related to our products, services or technology, or if the scope of the issued patents, trademarks or other intellectual property right protection is insufficient, our competitors could develop, manufacture and commercialize products, services or technology similar or superior to ours, and our competitive position may be adversely affected.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123" w:lineRule="exact"/>
        <w:rPr>
          <w:sz w:val="20"/>
          <w:szCs w:val="20"/>
          <w:color w:val="auto"/>
        </w:rPr>
      </w:pPr>
    </w:p>
    <w:p>
      <w:pPr>
        <w:jc w:val="both"/>
        <w:ind w:right="20" w:firstLine="309"/>
        <w:spacing w:after="0" w:line="264" w:lineRule="auto"/>
        <w:rPr>
          <w:sz w:val="20"/>
          <w:szCs w:val="20"/>
          <w:color w:val="auto"/>
        </w:rPr>
      </w:pPr>
      <w:r>
        <w:rPr>
          <w:rFonts w:ascii="Times New Roman" w:cs="Times New Roman" w:eastAsia="Times New Roman" w:hAnsi="Times New Roman"/>
          <w:sz w:val="17"/>
          <w:szCs w:val="17"/>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20"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patent owner or successors in title to the patent to grant a “nonexclusive, partially exclusive, or exclusive license” to a “responsible applicant or applicants.” If the patent owner refuses to do so, the government may grant the license to itself. We cannot be sure that if we acquire intellectual property rights in the future it will be free from government rights or regulations pursuant to the Bayh-Dole Act. If, in the future, we own, co-own or license in technology that is critical to our business that is developed in whole or in part with federal funds subject to the Bayh-Dole Act, our ability to enforce or otherwise exploit patents covering such technology may be adversely affected. Any of the foregoing could have a material adverse effect on our business, financial condition and results of operations.</w:t>
      </w:r>
    </w:p>
    <w:p>
      <w:pPr>
        <w:spacing w:after="0" w:line="124"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94"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services, we may not be able to stop a competitor from marketing products or services that are the same as or similar to our products or services, which would have a material adverse effect on our business, financial condition and results of operations.</w:t>
      </w:r>
    </w:p>
    <w:p>
      <w:pPr>
        <w:spacing w:after="0" w:line="118"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patents and other intellectual property rights, which could be expensive, time-consuming and unsuccessful, and if unsuccessful, the commercial value of our products and services will be adversely affected and our competitive position may be harmed.</w:t>
      </w:r>
    </w:p>
    <w:p>
      <w:pPr>
        <w:spacing w:after="0" w:line="94" w:lineRule="exact"/>
        <w:rPr>
          <w:sz w:val="20"/>
          <w:szCs w:val="20"/>
          <w:color w:val="auto"/>
        </w:rPr>
      </w:pPr>
    </w:p>
    <w:p>
      <w:pPr>
        <w:ind w:right="20" w:firstLine="309"/>
        <w:spacing w:after="0" w:line="255" w:lineRule="auto"/>
        <w:rPr>
          <w:sz w:val="20"/>
          <w:szCs w:val="20"/>
          <w:color w:val="auto"/>
        </w:rPr>
      </w:pPr>
      <w:r>
        <w:rPr>
          <w:rFonts w:ascii="Times New Roman" w:cs="Times New Roman" w:eastAsia="Times New Roman" w:hAnsi="Times New Roman"/>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Third parties may also challenge the validity, enforceability, or scope of such patents, which may result in such patents being narrowed, invalidated, or held unenforceable. While we are not aware of any unauthorized use of our intellectual property rights, we do not regularly conduct monitoring for unauthorized use at this time. In the future, we may, from time to time, seek to analyze our competitors’ products and services, or seek to enforce our rights against potential infringement, misappropriation or violation of our intellectual property rights. The steps we have taken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Thus, we may not be able to detect unauthorized use of, or take appropriate steps to enforce, our intellectual property rights. Any inability to meaningfully enforce our intellectual property rights could harm our ability to compete and reduce demand for our products and services.</w:t>
      </w:r>
    </w:p>
    <w:p>
      <w:pPr>
        <w:spacing w:after="0" w:line="135" w:lineRule="exact"/>
        <w:rPr>
          <w:sz w:val="20"/>
          <w:szCs w:val="20"/>
          <w:color w:val="auto"/>
        </w:rPr>
      </w:pPr>
    </w:p>
    <w:p>
      <w:pPr>
        <w:ind w:right="20" w:firstLine="309"/>
        <w:spacing w:after="0" w:line="256" w:lineRule="auto"/>
        <w:rPr>
          <w:sz w:val="20"/>
          <w:szCs w:val="20"/>
          <w:color w:val="auto"/>
        </w:rPr>
      </w:pPr>
      <w:r>
        <w:rPr>
          <w:rFonts w:ascii="Times New Roman" w:cs="Times New Roman" w:eastAsia="Times New Roman" w:hAnsi="Times New Roman"/>
          <w:sz w:val="17"/>
          <w:szCs w:val="17"/>
          <w:color w:val="auto"/>
        </w:rPr>
        <w:t>In the future, we may become involved in lawsuits to protect or enforce our intellectual property rights. An adverse result in any litigation proceeding could harm our business. In any lawsuit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product or a service,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Any claims we assert against perceived infringers could also provoke these parties to assert counterclaims against us alleging that we infringe, misappropriate or otherwise violate their intellectual property rights.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inter partes review, interference proceedings, derivation proceedings, and equivalent proceedings in foreign jurisdictions (e.g., opposition proceedings).</w:t>
      </w:r>
    </w:p>
    <w:p>
      <w:pPr>
        <w:spacing w:after="0" w:line="130" w:lineRule="exact"/>
        <w:rPr>
          <w:sz w:val="20"/>
          <w:szCs w:val="20"/>
          <w:color w:val="auto"/>
        </w:rPr>
      </w:pPr>
    </w:p>
    <w:p>
      <w:pPr>
        <w:ind w:right="360" w:firstLine="309"/>
        <w:spacing w:after="0" w:line="287" w:lineRule="auto"/>
        <w:rPr>
          <w:sz w:val="20"/>
          <w:szCs w:val="20"/>
          <w:color w:val="auto"/>
        </w:rPr>
      </w:pPr>
      <w:r>
        <w:rPr>
          <w:rFonts w:ascii="Times New Roman" w:cs="Times New Roman" w:eastAsia="Times New Roman" w:hAnsi="Times New Roman"/>
          <w:sz w:val="17"/>
          <w:szCs w:val="17"/>
          <w:color w:val="auto"/>
        </w:rPr>
        <w:t>Decisions by courts and governmental patent agencies may introduce uncertainty in the enforceability or scope of patents and other intellectual properties owned by us. A court may decide that a patent or other intellectual property right of</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An adverse result in any litigation proceeding could put one or more of our patents at risk of being invalidated or interpreted narrowly.</w:t>
      </w:r>
    </w:p>
    <w:p>
      <w:pPr>
        <w:spacing w:after="0" w:line="114" w:lineRule="exact"/>
        <w:rPr>
          <w:sz w:val="20"/>
          <w:szCs w:val="20"/>
          <w:color w:val="auto"/>
        </w:rPr>
      </w:pPr>
    </w:p>
    <w:p>
      <w:pPr>
        <w:ind w:right="20" w:firstLine="309"/>
        <w:spacing w:after="0" w:line="255" w:lineRule="auto"/>
        <w:rPr>
          <w:sz w:val="20"/>
          <w:szCs w:val="20"/>
          <w:color w:val="auto"/>
        </w:rPr>
      </w:pPr>
      <w:r>
        <w:rPr>
          <w:rFonts w:ascii="Times New Roman" w:cs="Times New Roman" w:eastAsia="Times New Roman" w:hAnsi="Times New Roman"/>
          <w:sz w:val="17"/>
          <w:szCs w:val="17"/>
          <w:color w:val="auto"/>
        </w:rPr>
        <w:t>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proceedings. 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127" w:lineRule="exact"/>
        <w:rPr>
          <w:sz w:val="20"/>
          <w:szCs w:val="20"/>
          <w:color w:val="auto"/>
        </w:rPr>
      </w:pPr>
    </w:p>
    <w:p>
      <w:pPr>
        <w:ind w:right="6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unsuccessful in licensing or acquiring intellectual property rights from third parties that may be necessary to develop, manufacture and/or commercialize our current and/or future products or services.</w:t>
      </w:r>
    </w:p>
    <w:p>
      <w:pPr>
        <w:spacing w:after="0" w:line="94"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A third party may hold intellectual property rights, including patent rights, that are important or necessary to the development, manufacture and/or commercialization of our current and/or future products or services, in which case we would be need to acquire or obtain a license to such intellectual property rights from such third party. A third party that perceive us to be a competitor may be unwilling to assign or license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be established and may have a competitive advantage over us due to their size, capital resources and greater development, manufacture and commercialization capabilities. We also may be unable to license or acquire third party intellectual property rights on commercially reasonable terms that would allow us to make an appropriate return on our investment, or at all, or we may be unable to obtain any such license or acquisition at all. If we are unable to successfully obtain rights to necessary third-party intellectual property rights, we may not be able to develop, manufacture or commercialize our current and/or future products or services, which could have a material adverse effect on our business, financial condition and results of operations.</w:t>
      </w:r>
    </w:p>
    <w:p>
      <w:pPr>
        <w:spacing w:after="0" w:line="11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our current and future products.</w:t>
      </w:r>
    </w:p>
    <w:p>
      <w:pPr>
        <w:spacing w:after="0" w:line="112"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We may be subject to claims that current or former employees, collaborators or other third parties have an interest in our current or future patents, patent applications, trade secrets or other intellectual property rights as an inventor or co-inventor. For example, we may have inventorship disputes arise from conflicting obligations of employees, consultants or others who are involved in developing our current or future products, services or technology. Although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7"/>
          <w:szCs w:val="17"/>
          <w:color w:val="auto"/>
        </w:rPr>
        <w:t>monetary damages, we may lose valuable intellectual property rights, such as exclusive ownership of, or right to use, valuable intellectual property rights,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20" w:lineRule="exact"/>
        <w:rPr>
          <w:sz w:val="20"/>
          <w:szCs w:val="20"/>
          <w:color w:val="auto"/>
        </w:rPr>
      </w:pPr>
    </w:p>
    <w:p>
      <w:pPr>
        <w:ind w:firstLine="309"/>
        <w:spacing w:after="0" w:line="254" w:lineRule="auto"/>
        <w:rPr>
          <w:sz w:val="20"/>
          <w:szCs w:val="20"/>
          <w:color w:val="auto"/>
        </w:rPr>
      </w:pPr>
      <w:r>
        <w:rPr>
          <w:rFonts w:ascii="Times New Roman" w:cs="Times New Roman" w:eastAsia="Times New Roman" w:hAnsi="Times New Roman"/>
          <w:sz w:val="17"/>
          <w:szCs w:val="17"/>
          <w:color w:val="auto"/>
        </w:rPr>
        <w:t>Additionally,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Litigation may be necessary to defend against such claims, and it may be necessary, or we may desire to obtain a license to such third party’s intellectual property rights to settle any such claim, however, there can be no assurance that we would be able to obtain such license on commercially reasonable terms, if at all. If we fail in defending any such claims, in addition to paying monetary damages, we may lose valuable intellectual property rights, such as exclusive ownership of, or right to use, intellectual property that is important to our robotic systems and our other current and future products, services or technology.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our robotic systems, or our other current or future products, services and technologies, and we could be prohibited from using our other technologies, features or intellectual property rights that are essential to our products or services,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services could have a material adverse effect on our business, financial condition, results of operations, and competitive position, and may prevent us from developing, manufacturing and/or selling our products or services.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may be harmed.</w:t>
      </w:r>
    </w:p>
    <w:p>
      <w:pPr>
        <w:spacing w:after="0" w:line="171"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In addition to seeking patent protection for our robotic systems and our other current and future products and services,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22"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We cannot guarantee that we have entered into such agreements with each party that has or may have had access to our trade secrets or proprietary information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restrictions. These agreements may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2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the movement of personnel within the industry and from academic to industry scientific positions.</w:t>
      </w:r>
    </w:p>
    <w:p>
      <w:pPr>
        <w:spacing w:after="0" w:line="128" w:lineRule="exact"/>
        <w:rPr>
          <w:sz w:val="20"/>
          <w:szCs w:val="20"/>
          <w:color w:val="auto"/>
        </w:rPr>
      </w:pPr>
    </w:p>
    <w:p>
      <w:pPr>
        <w:ind w:right="160" w:firstLine="309"/>
        <w:spacing w:after="0" w:line="260"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could have a material adverse effect on our competitive position, business, financial condition, results of operations and prospects.</w:t>
      </w:r>
    </w:p>
    <w:p>
      <w:pPr>
        <w:spacing w:after="0" w:line="11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112" w:lineRule="exact"/>
        <w:rPr>
          <w:sz w:val="20"/>
          <w:szCs w:val="20"/>
          <w:color w:val="auto"/>
        </w:rPr>
      </w:pPr>
    </w:p>
    <w:p>
      <w:pPr>
        <w:ind w:right="200" w:firstLine="309"/>
        <w:spacing w:after="0" w:line="260" w:lineRule="auto"/>
        <w:rPr>
          <w:sz w:val="20"/>
          <w:szCs w:val="20"/>
          <w:color w:val="auto"/>
        </w:rPr>
      </w:pPr>
      <w:r>
        <w:rPr>
          <w:rFonts w:ascii="Times New Roman" w:cs="Times New Roman" w:eastAsia="Times New Roman" w:hAnsi="Times New Roman"/>
          <w:sz w:val="17"/>
          <w:szCs w:val="17"/>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22"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robotic systems or our other current and future products or services, if such technologies or features are found to incorporate or be derived from the trade secrets or other proprietary information of the former employers.</w:t>
      </w:r>
    </w:p>
    <w:p>
      <w:pPr>
        <w:spacing w:after="0" w:line="128"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An inability to incorporate technologies or features that are important or essential to our product could have a material adverse effect on our business, financial condition and results of operations, and may prevent us from selling our robotic systems or our other current and future products or services.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ability to commercialize our product, which could have an adverse effect on our business, financial condition and results of operations.</w:t>
      </w:r>
    </w:p>
    <w:p>
      <w:pPr>
        <w:spacing w:after="0" w:line="15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Changes in patent law could diminish the value of patents in general, thereby impairing our ability to protect our existing and future products or services, and could increase the uncertainties and costs surrounding the prosecution of our patent applications and the enforcement or defense of our current or future patents.</w:t>
      </w:r>
    </w:p>
    <w:p>
      <w:pPr>
        <w:spacing w:after="0" w:line="112" w:lineRule="exact"/>
        <w:rPr>
          <w:sz w:val="20"/>
          <w:szCs w:val="20"/>
          <w:color w:val="auto"/>
        </w:rPr>
      </w:pPr>
    </w:p>
    <w:p>
      <w:pPr>
        <w:ind w:right="220" w:firstLine="309"/>
        <w:spacing w:after="0" w:line="264" w:lineRule="auto"/>
        <w:rPr>
          <w:sz w:val="20"/>
          <w:szCs w:val="20"/>
          <w:color w:val="auto"/>
        </w:rPr>
      </w:pPr>
      <w:r>
        <w:rPr>
          <w:rFonts w:ascii="Times New Roman" w:cs="Times New Roman" w:eastAsia="Times New Roman" w:hAnsi="Times New Roman"/>
          <w:sz w:val="17"/>
          <w:szCs w:val="17"/>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and services.</w:t>
      </w:r>
    </w:p>
    <w:p>
      <w:pPr>
        <w:spacing w:after="0" w:line="120" w:lineRule="exact"/>
        <w:rPr>
          <w:sz w:val="20"/>
          <w:szCs w:val="20"/>
          <w:color w:val="auto"/>
        </w:rPr>
      </w:pPr>
    </w:p>
    <w:p>
      <w:pPr>
        <w:ind w:right="220" w:firstLine="309"/>
        <w:spacing w:after="0" w:line="270" w:lineRule="auto"/>
        <w:rPr>
          <w:sz w:val="20"/>
          <w:szCs w:val="20"/>
          <w:color w:val="auto"/>
        </w:rPr>
      </w:pPr>
      <w:r>
        <w:rPr>
          <w:rFonts w:ascii="Times New Roman" w:cs="Times New Roman" w:eastAsia="Times New Roman" w:hAnsi="Times New Roman"/>
          <w:sz w:val="17"/>
          <w:szCs w:val="17"/>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w:t>
      </w:r>
    </w:p>
    <w:p>
      <w:pPr>
        <w:spacing w:after="0" w:line="114" w:lineRule="exact"/>
        <w:rPr>
          <w:sz w:val="20"/>
          <w:szCs w:val="20"/>
          <w:color w:val="auto"/>
        </w:rPr>
      </w:pPr>
    </w:p>
    <w:p>
      <w:pPr>
        <w:ind w:right="80" w:firstLine="309"/>
        <w:spacing w:after="0" w:line="260" w:lineRule="auto"/>
        <w:rPr>
          <w:sz w:val="20"/>
          <w:szCs w:val="20"/>
          <w:color w:val="auto"/>
        </w:rPr>
      </w:pPr>
      <w:r>
        <w:rPr>
          <w:rFonts w:ascii="Times New Roman" w:cs="Times New Roman" w:eastAsia="Times New Roman" w:hAnsi="Times New Roman"/>
          <w:sz w:val="17"/>
          <w:szCs w:val="17"/>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22"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Changes in either patent laws or in interpretations of patent laws in the United States and other countries may materially diminish the value of our intellectual property rights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spacing w:after="0" w:line="120"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tradenames are not adequately protected, then we may not be able to build name recognition in our markets and our business may be adversely affected.</w:t>
      </w:r>
    </w:p>
    <w:p>
      <w:pPr>
        <w:spacing w:after="0" w:line="94" w:lineRule="exact"/>
        <w:rPr>
          <w:sz w:val="20"/>
          <w:szCs w:val="20"/>
          <w:color w:val="auto"/>
        </w:rPr>
      </w:pPr>
    </w:p>
    <w:p>
      <w:pPr>
        <w:ind w:right="40" w:firstLine="309"/>
        <w:spacing w:after="0" w:line="257" w:lineRule="auto"/>
        <w:rPr>
          <w:sz w:val="20"/>
          <w:szCs w:val="20"/>
          <w:color w:val="auto"/>
        </w:rPr>
      </w:pPr>
      <w:r>
        <w:rPr>
          <w:rFonts w:ascii="Times New Roman" w:cs="Times New Roman" w:eastAsia="Times New Roman" w:hAnsi="Times New Roman"/>
          <w:sz w:val="17"/>
          <w:szCs w:val="17"/>
          <w:color w:val="auto"/>
        </w:rPr>
        <w:t>We rely on our trademarks, trade names and brand names to distinguish our products and services from the products and services of our competitors, and have registered or applied to register many of these trademarks in the United States and certain countries outside the United States.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309"/>
        <w:spacing w:after="0" w:line="256" w:lineRule="auto"/>
        <w:rPr>
          <w:sz w:val="20"/>
          <w:szCs w:val="20"/>
          <w:color w:val="auto"/>
        </w:rPr>
      </w:pPr>
      <w:r>
        <w:rPr>
          <w:rFonts w:ascii="Times New Roman" w:cs="Times New Roman" w:eastAsia="Times New Roman" w:hAnsi="Times New Roman"/>
          <w:sz w:val="17"/>
          <w:szCs w:val="17"/>
          <w:color w:val="auto"/>
        </w:rPr>
        <w:t>Our trademarks or trade names may be challenged, invalidated, infringed, circumvented and circumvented by third parties, and our trademarks could also be diluted, declared generic or determined to be violating or infringing on other marks. We may not be able to protect our rights to these trademarks and trade names, which we need to build name recognition among potential partners and customers in our markets of interest. If any of the foregoing occurs, we could be forced to re-brand our products or services,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or other third parties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may be adversely affected. Any of the foregoing could have a material adverse effect on our competitive position, business, financial condition, operating results and prospects.</w:t>
      </w:r>
    </w:p>
    <w:p>
      <w:pPr>
        <w:spacing w:after="0" w:line="124"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become a party to intellectual property litigation or administrative proceedings that could be expensive, time-consuming, unsuccessful, and could interfere with our ability to sell and market our products or services.</w:t>
      </w:r>
    </w:p>
    <w:p>
      <w:pPr>
        <w:spacing w:after="0" w:line="94" w:lineRule="exact"/>
        <w:rPr>
          <w:sz w:val="20"/>
          <w:szCs w:val="20"/>
          <w:color w:val="auto"/>
        </w:rPr>
      </w:pPr>
    </w:p>
    <w:p>
      <w:pPr>
        <w:ind w:right="200" w:firstLine="309"/>
        <w:spacing w:after="0" w:line="261" w:lineRule="auto"/>
        <w:rPr>
          <w:sz w:val="20"/>
          <w:szCs w:val="20"/>
          <w:color w:val="auto"/>
        </w:rPr>
      </w:pPr>
      <w:r>
        <w:rPr>
          <w:rFonts w:ascii="Times New Roman" w:cs="Times New Roman" w:eastAsia="Times New Roman" w:hAnsi="Times New Roman"/>
          <w:sz w:val="17"/>
          <w:szCs w:val="17"/>
          <w:color w:val="auto"/>
        </w:rPr>
        <w:t>Our commercial success depends, in part, on our ability to develop, manufacture, market and sell our products and services and use our proprietary technologies without infringing, misappropriating or otherwise violating the proprietary rights and intellectual property of third parties. The medical device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spacing w:after="0" w:line="123" w:lineRule="exact"/>
        <w:rPr>
          <w:sz w:val="20"/>
          <w:szCs w:val="20"/>
          <w:color w:val="auto"/>
        </w:rPr>
      </w:pPr>
    </w:p>
    <w:p>
      <w:pPr>
        <w:ind w:firstLine="309"/>
        <w:spacing w:after="0" w:line="255" w:lineRule="auto"/>
        <w:rPr>
          <w:sz w:val="20"/>
          <w:szCs w:val="20"/>
          <w:color w:val="auto"/>
        </w:rPr>
      </w:pPr>
      <w:r>
        <w:rPr>
          <w:rFonts w:ascii="Times New Roman" w:cs="Times New Roman" w:eastAsia="Times New Roman" w:hAnsi="Times New Roman"/>
          <w:sz w:val="17"/>
          <w:szCs w:val="17"/>
          <w:color w:val="auto"/>
        </w:rPr>
        <w:t>Third parties may initiate legal proceedings alleging that we are infringing, misappropriating or otherwise violating their intellectual property rights, or challenging the validity, enforceability or scope of our patents, the outcome of which would be uncertain and could have a negative impact on the success of our business. It is possible that U.S. and foreign patents and pending patent applications controlled by third parties may be alleged to cover our products and services,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or services, including interference proceedings, post grant review and inter partes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or services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and/or services, which could have a negative impact on the commercial success of our current and any future products or services.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in the United States, the patent owner need only prove infringement by a preponderance of the evidence, which is a lower burden of proof. We will have similar burdens to overcome in foreign courts in order to successfully challenge a third-party claim of patent infringement.</w:t>
      </w:r>
    </w:p>
    <w:p>
      <w:pPr>
        <w:spacing w:after="0" w:line="128"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Our defense of any litigation or interference proceedings may fail and, even if successful, defending such claims brought against us would cause us to incur substantial expenses. If such claims are successfully asserted against us, they may result in substantial costs and distract our management and other employees and could cause us to pay substantial damages. Further, if a patent infringement or other intellectual property rights-related lawsuit were brought against us, we could be forced, including by court order, to cease developing, manufacturing and/or commercializing the infringing product or service. In addition, we could be found liable for monetary damages, including treble damages and attorneys’ fees, if we are found to have willfully infringed a patent or other intellectual property right. Although patent, trademark,</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trade secret, and other intellectual property disputes in the medical device area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or services, we could be forced to cease some aspect of our business operations, which could harm our business significantly.</w:t>
      </w:r>
    </w:p>
    <w:p>
      <w:pPr>
        <w:spacing w:after="0" w:line="123"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A finding of infringement, or an unfavorable interference or derivation proceedings outcome could prevent us from developing, manufacturing and/or commercializing our products or services,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or service introductions while we attempt to develop alternative products or services.</w:t>
      </w:r>
    </w:p>
    <w:p>
      <w:pPr>
        <w:spacing w:after="0" w:line="128" w:lineRule="exact"/>
        <w:rPr>
          <w:sz w:val="20"/>
          <w:szCs w:val="20"/>
          <w:color w:val="auto"/>
        </w:rPr>
      </w:pPr>
    </w:p>
    <w:p>
      <w:pPr>
        <w:ind w:right="160" w:firstLine="309"/>
        <w:spacing w:after="0" w:line="264" w:lineRule="auto"/>
        <w:rPr>
          <w:sz w:val="20"/>
          <w:szCs w:val="20"/>
          <w:color w:val="auto"/>
        </w:rPr>
      </w:pPr>
      <w:r>
        <w:rPr>
          <w:rFonts w:ascii="Times New Roman" w:cs="Times New Roman" w:eastAsia="Times New Roman" w:hAnsi="Times New Roman"/>
          <w:sz w:val="17"/>
          <w:szCs w:val="17"/>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or services.</w:t>
      </w:r>
    </w:p>
    <w:p>
      <w:pPr>
        <w:spacing w:after="0" w:line="120" w:lineRule="exact"/>
        <w:rPr>
          <w:sz w:val="20"/>
          <w:szCs w:val="20"/>
          <w:color w:val="auto"/>
        </w:rPr>
      </w:pPr>
    </w:p>
    <w:p>
      <w:pPr>
        <w:ind w:right="40" w:firstLine="309"/>
        <w:spacing w:after="0" w:line="256" w:lineRule="auto"/>
        <w:rPr>
          <w:sz w:val="20"/>
          <w:szCs w:val="20"/>
          <w:color w:val="auto"/>
        </w:rPr>
      </w:pPr>
      <w:r>
        <w:rPr>
          <w:rFonts w:ascii="Times New Roman" w:cs="Times New Roman" w:eastAsia="Times New Roman" w:hAnsi="Times New Roman"/>
          <w:sz w:val="17"/>
          <w:szCs w:val="17"/>
          <w:color w:val="auto"/>
        </w:rPr>
        <w:t>Additionally, our products include components that we purchase from suppliers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services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and business operations infringe, misappropriate or otherwise violate the intellectual property rights of others. The defense of these matters can be time-consuming, costly to defend in litigation, divert management’s attention and resources, damage our reputation and brand and cause us to incur significant expenses or make substantial payments. In addition, suppliers from whom we purchase hardware or software may not indemnify us in the event that such hardware or software is accused of infringing a third party’s patent or trademark or of misappropriating a third party’s trade secret.</w:t>
      </w:r>
    </w:p>
    <w:p>
      <w:pPr>
        <w:spacing w:after="0" w:line="130"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products or services. Two of our applications filed in Europe are currently subject to opposition challenges.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services. Such a loss of patent protection would have a material adverse impact on our business, financial condition, results of operations, and prospects.</w:t>
      </w:r>
    </w:p>
    <w:p>
      <w:pPr>
        <w:spacing w:after="0" w:line="124"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adverse effect on our business. Any of the foregoing may cause us to incur substantial costs, and could place a significant strain on our financial resources, divert the attention of management from our core business and harm our reputation.</w:t>
      </w:r>
    </w:p>
    <w:p>
      <w:pPr>
        <w:spacing w:after="0" w:line="94"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subject our proprietary software to general release, adversely affect our ability to sell our current or future products and services, and subject us to possible litigation.</w:t>
      </w:r>
    </w:p>
    <w:p>
      <w:pPr>
        <w:spacing w:after="0" w:line="94" w:lineRule="exact"/>
        <w:rPr>
          <w:sz w:val="20"/>
          <w:szCs w:val="20"/>
          <w:color w:val="auto"/>
        </w:rPr>
      </w:pPr>
    </w:p>
    <w:p>
      <w:pPr>
        <w:ind w:firstLine="309"/>
        <w:spacing w:after="0" w:line="255" w:lineRule="auto"/>
        <w:rPr>
          <w:sz w:val="20"/>
          <w:szCs w:val="20"/>
          <w:color w:val="auto"/>
        </w:rPr>
      </w:pPr>
      <w:r>
        <w:rPr>
          <w:rFonts w:ascii="Times New Roman" w:cs="Times New Roman" w:eastAsia="Times New Roman" w:hAnsi="Times New Roman"/>
          <w:sz w:val="17"/>
          <w:szCs w:val="17"/>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software that uses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robotic systems and our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robotic systems and our other current and future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w:t>
      </w:r>
    </w:p>
    <w:p>
      <w:pPr>
        <w:spacing w:after="0" w:line="171" w:lineRule="exact"/>
        <w:rPr>
          <w:sz w:val="20"/>
          <w:szCs w:val="20"/>
          <w:color w:val="auto"/>
        </w:rPr>
      </w:pPr>
    </w:p>
    <w:p>
      <w:pPr>
        <w:ind w:right="480" w:firstLine="309"/>
        <w:spacing w:after="0" w:line="287"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0" w:lineRule="exact"/>
        <w:rPr>
          <w:sz w:val="20"/>
          <w:szCs w:val="20"/>
          <w:color w:val="auto"/>
        </w:rPr>
      </w:pPr>
    </w:p>
    <w:p>
      <w:pPr>
        <w:ind w:left="620" w:right="100" w:hanging="307"/>
        <w:spacing w:after="0" w:line="270"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products that are similar to our robotic systems and our other current or future products or utilize similar technology but that are not covered by the claims of our patents or that incorporate certain technology in our robotic systems and our other current and future products that is in the public domain;</w:t>
      </w:r>
    </w:p>
    <w:p>
      <w:pPr>
        <w:spacing w:after="0" w:line="113" w:lineRule="exact"/>
        <w:rPr>
          <w:rFonts w:ascii="Times New Roman" w:cs="Times New Roman" w:eastAsia="Times New Roman" w:hAnsi="Times New Roman"/>
          <w:sz w:val="17"/>
          <w:szCs w:val="17"/>
          <w:color w:val="auto"/>
        </w:rPr>
      </w:pPr>
    </w:p>
    <w:p>
      <w:pPr>
        <w:ind w:left="620" w:right="4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future licensors or collaborators, might not have been the first to file patent applications covering certain of our or their inventions;</w:t>
      </w:r>
    </w:p>
    <w:p>
      <w:pPr>
        <w:spacing w:after="0" w:line="165"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intellectual property rights;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current or future pending patent applications will not lead to issued patents;</w:t>
      </w:r>
    </w:p>
    <w:p>
      <w:pPr>
        <w:spacing w:after="0" w:line="165" w:lineRule="exact"/>
        <w:rPr>
          <w:rFonts w:ascii="Times New Roman" w:cs="Times New Roman" w:eastAsia="Times New Roman" w:hAnsi="Times New Roman"/>
          <w:sz w:val="17"/>
          <w:szCs w:val="17"/>
          <w:color w:val="auto"/>
        </w:rPr>
      </w:pPr>
    </w:p>
    <w:p>
      <w:pPr>
        <w:ind w:left="620" w:right="46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hold rights to may be held invalid or unenforceable, including as a result of legal challenges by our competitors or other third parties;</w:t>
      </w:r>
    </w:p>
    <w:p>
      <w:pPr>
        <w:spacing w:after="0" w:line="99"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harm our business; and</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140" w:hanging="307"/>
        <w:spacing w:after="0" w:line="287"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in order to maintain certain trade secrets or know-how, and a third party may subsequently file a patent covering such intellectual property.</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Patents covering our products could be found invalid or unenforceable if challenged in court or before administrative bodies globally.</w:t>
      </w:r>
    </w:p>
    <w:p>
      <w:pPr>
        <w:spacing w:after="0" w:line="171" w:lineRule="exact"/>
        <w:rPr>
          <w:sz w:val="20"/>
          <w:szCs w:val="20"/>
          <w:color w:val="auto"/>
        </w:rPr>
      </w:pPr>
    </w:p>
    <w:p>
      <w:pPr>
        <w:ind w:right="60" w:firstLine="309"/>
        <w:spacing w:after="0" w:line="257"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patents may be challenged in the courts or patent offices globally. We may become involved in opposition, derivation, revocation, reexamination, post-grant review, inter partes review (“IPR”) or other similar proceedings challenging our patent rights. An adverse determination in any such submission, proceeding or litigation could reduce the scope of, or invalidate or render unenforceable,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our priority of invention or other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technology or products. Such proceedings also may result in substantial cost and require significant time from our scientists and management, even if the eventual outcome is favorable to us.</w:t>
      </w:r>
    </w:p>
    <w:p>
      <w:pPr>
        <w:spacing w:after="0" w:line="12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In addition, if we initiate legal proceedings against a third party to enforce a patent covering our products, the defendant could counterclaim that such patent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claims challenging the validity or enforceability of our patents before administrative bodies globally, even outside the context of litigation, including through re-examination, post-grant review, IPR, interference proceedings, derivation proceedings and equivalent proceedings in foreign jurisdictions (e.g., opposition proceedings). Such proceedings could result in the revocation of, cancellation of or amendment to our patents in such a way that they no longer cover our products. The outcome following legal assertions of invalidity and unenforceability is unpredictable. With respect to the validity question, for example, we cannot be certain that there is no invalidating prior 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and proprietary rights throughout the world.</w:t>
      </w:r>
    </w:p>
    <w:p>
      <w:pPr>
        <w:spacing w:after="0" w:line="171" w:lineRule="exact"/>
        <w:rPr>
          <w:sz w:val="20"/>
          <w:szCs w:val="20"/>
          <w:color w:val="auto"/>
        </w:rPr>
      </w:pPr>
    </w:p>
    <w:p>
      <w:pPr>
        <w:ind w:right="380" w:firstLine="309"/>
        <w:spacing w:after="0" w:line="270" w:lineRule="auto"/>
        <w:rPr>
          <w:sz w:val="20"/>
          <w:szCs w:val="20"/>
          <w:color w:val="auto"/>
        </w:rPr>
      </w:pPr>
      <w:r>
        <w:rPr>
          <w:rFonts w:ascii="Times New Roman" w:cs="Times New Roman" w:eastAsia="Times New Roman" w:hAnsi="Times New Roman"/>
          <w:sz w:val="17"/>
          <w:szCs w:val="17"/>
          <w:color w:val="auto"/>
        </w:rPr>
        <w:t>Third parties may attempt to develop, manufacture and/or commercialize competitive products or services in foreign countries utilizing our proprietary technology, design, trademarks or tradenames in foreign countries where we do not have any patents or patent applications, trademarks, and/or other forms of intellectual property rights and/or where legal recourse may be limited. This may have a significant commercial impact on our foreign business operations.</w:t>
      </w:r>
    </w:p>
    <w:p>
      <w:pPr>
        <w:spacing w:after="0" w:line="114" w:lineRule="exact"/>
        <w:rPr>
          <w:sz w:val="20"/>
          <w:szCs w:val="20"/>
          <w:color w:val="auto"/>
        </w:rPr>
      </w:pPr>
    </w:p>
    <w:p>
      <w:pPr>
        <w:ind w:right="100" w:firstLine="309"/>
        <w:spacing w:after="0" w:line="257" w:lineRule="auto"/>
        <w:rPr>
          <w:sz w:val="20"/>
          <w:szCs w:val="20"/>
          <w:color w:val="auto"/>
        </w:rPr>
      </w:pPr>
      <w:r>
        <w:rPr>
          <w:rFonts w:ascii="Times New Roman" w:cs="Times New Roman" w:eastAsia="Times New Roman" w:hAnsi="Times New Roman"/>
          <w:sz w:val="17"/>
          <w:szCs w:val="17"/>
          <w:color w:val="auto"/>
        </w:rPr>
        <w:t>Filing, prosecuting and defending patents or trademarks on our robotic systems and all of our other current and future products and services in all countries throughout the world would be prohibitively expensive, and the laws of foreign countries particularly those of developing countries, may not protect our rights to the same extent as the laws of the United States. Consequently, we may not be able to prevent third parties from practicing our inventions or trademarks in all jurisdictions outside the United States to the same extent as the United States, or from developing, manufacturing, selling or importing products or services using or incorporating our inventions or trademarks in and into the United States or other jurisdictions. Competitors may use our technologies in jurisdictions where we have not obtained patent or trademark protection to develop, manufacture and/or market their own products or services and, further, may export otherwise infringing products or services to territories where we have patent or trademark protection, but enforcement on infringing activities is inadequate or not as strong as that in the United States. These products or services may compete with our robotic systems or other current or future products or services, and our patents, trademarks or other intellectual property rights may not be effective or sufficient to prevent them from competing.</w:t>
      </w:r>
    </w:p>
    <w:p>
      <w:pPr>
        <w:spacing w:after="0" w:line="127" w:lineRule="exact"/>
        <w:rPr>
          <w:sz w:val="20"/>
          <w:szCs w:val="20"/>
          <w:color w:val="auto"/>
        </w:rPr>
      </w:pPr>
    </w:p>
    <w:p>
      <w:pPr>
        <w:ind w:right="140" w:firstLine="309"/>
        <w:spacing w:after="0" w:line="270" w:lineRule="auto"/>
        <w:rPr>
          <w:sz w:val="20"/>
          <w:szCs w:val="20"/>
          <w:color w:val="auto"/>
        </w:rPr>
      </w:pPr>
      <w:r>
        <w:rPr>
          <w:rFonts w:ascii="Times New Roman" w:cs="Times New Roman" w:eastAsia="Times New Roman" w:hAnsi="Times New Roman"/>
          <w:sz w:val="17"/>
          <w:szCs w:val="17"/>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country, the scope of patent protection may vary for the same product or technology. For example, certain jurisdictions do not allow for patent protection with respect to method of treatment.</w:t>
      </w:r>
    </w:p>
    <w:p>
      <w:pPr>
        <w:spacing w:after="0" w:line="100"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While we seek to protect our intellectual property rights in our expected significant markets, we cannot ensure that we will be able to initiate or maintain similar efforts in all jurisdictions in which we may wish to manufacture or market our products or services. Accordingly, our efforts to protect our intellectual property rights in such countries may be inadequate, which may have an adverse effect on our ability to successfully manufacture or commercialize our products or services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26" w:lineRule="exact"/>
        <w:rPr>
          <w:sz w:val="20"/>
          <w:szCs w:val="20"/>
          <w:color w:val="auto"/>
        </w:rPr>
      </w:pPr>
    </w:p>
    <w:p>
      <w:pPr>
        <w:ind w:right="120" w:firstLine="309"/>
        <w:spacing w:after="0" w:line="264"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w:t>
      </w:r>
    </w:p>
    <w:p>
      <w:pPr>
        <w:spacing w:after="0" w:line="120" w:lineRule="exact"/>
        <w:rPr>
          <w:sz w:val="20"/>
          <w:szCs w:val="20"/>
          <w:color w:val="auto"/>
        </w:rPr>
      </w:pPr>
    </w:p>
    <w:p>
      <w:pPr>
        <w:jc w:val="both"/>
        <w:ind w:right="140" w:firstLine="309"/>
        <w:spacing w:after="0" w:line="264" w:lineRule="auto"/>
        <w:rPr>
          <w:sz w:val="20"/>
          <w:szCs w:val="20"/>
          <w:color w:val="auto"/>
        </w:rPr>
      </w:pPr>
      <w:r>
        <w:rPr>
          <w:rFonts w:ascii="Times New Roman" w:cs="Times New Roman" w:eastAsia="Times New Roman" w:hAnsi="Times New Roman"/>
          <w:sz w:val="17"/>
          <w:szCs w:val="17"/>
          <w:color w:val="auto"/>
        </w:rPr>
        <w:t>Proceedings to enforce our patent and trademark rights in foreign jurisdictions could result in substantial costs and divert our attention from other aspects of our business, could put our patents and trademarks or applications in those jurisdictions, as well as elsewhere, at risk of being invalidated or interpreted narrowly, and could provoke third parties to assert claims against us. We may not prevail in any proceedings that we initiate and the damages or other remedies awarded, if any, may not be commercially meaningful.</w:t>
      </w:r>
    </w:p>
    <w:p>
      <w:pPr>
        <w:spacing w:after="0" w:line="114"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heavily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12"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We are dependent on patents, know-how and other proprietary technology licensed from licensors such as AquaBeam LLC. This and other licenses we currently possess or may possess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Moreover, if we fail to comply with our obligations under such licenses, or if disputes over intellectual property that we have licensed prevent or impair our ability to maintain our current licensing arrangements on acceptable terms, we may be unable to successfully develop and commercialize the affected technology or products.</w:t>
      </w:r>
    </w:p>
    <w:p>
      <w:pPr>
        <w:spacing w:after="0" w:line="122"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Certain provisions in our intellectual property agreements with third parties may also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results of operations, financial condition, cash flows and prospects. In spite of our efforts, our current and future licensors might also conclude that we have breached our obligations under our license agreements and might therefore seek to terminate such license agreements, thereby removing or limiting our ability to develop and commercialize products and technology covered by these license agreements. As a result, any termination of these licenses could result in the loss of significant rights and could harm our ability to commercialize our products, including, for example, our robotic systems, and our financial results.</w:t>
      </w:r>
    </w:p>
    <w:p>
      <w:pPr>
        <w:spacing w:after="0" w:line="128" w:lineRule="exact"/>
        <w:rPr>
          <w:sz w:val="20"/>
          <w:szCs w:val="20"/>
          <w:color w:val="auto"/>
        </w:rPr>
      </w:pPr>
    </w:p>
    <w:p>
      <w:pPr>
        <w:ind w:right="620" w:firstLine="309"/>
        <w:spacing w:after="0" w:line="287" w:lineRule="auto"/>
        <w:rPr>
          <w:sz w:val="20"/>
          <w:szCs w:val="20"/>
          <w:color w:val="auto"/>
        </w:rPr>
      </w:pPr>
      <w:r>
        <w:rPr>
          <w:rFonts w:ascii="Times New Roman" w:cs="Times New Roman" w:eastAsia="Times New Roman" w:hAnsi="Times New Roman"/>
          <w:sz w:val="17"/>
          <w:szCs w:val="17"/>
          <w:color w:val="auto"/>
        </w:rPr>
        <w:t>In addition, we may need to obtain additional licenses from our existing licensors and others to allow commercialization of products we may develop. Moreover, we may be required to expend significant time and resources to</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redesign our technology, products, or the methods for manufacturing them or to develop or license replacement technology, all of which may not be feasible on a technical or commercial basis. If we are unable to do so, we may be unable to develop or commercialize the affected technology or products. Even if we are able to obtain such additional licenses, they may be non-exclusive thereby giving our competitors and other third parties access to the same technology licensed to us. Any of the foregoing could have an adverse impact on our business and financial results.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163"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 or may decline steeply or suddenly regardless of our operating performance, which could result in substantial losses for holders of our common stock, and we may not be able to meet investor or analyst expectations.</w:t>
      </w:r>
    </w:p>
    <w:p>
      <w:pPr>
        <w:spacing w:after="0" w:line="94" w:lineRule="exact"/>
        <w:rPr>
          <w:sz w:val="20"/>
          <w:szCs w:val="20"/>
          <w:color w:val="auto"/>
        </w:rPr>
      </w:pPr>
    </w:p>
    <w:p>
      <w:pPr>
        <w:ind w:right="500" w:firstLine="309"/>
        <w:spacing w:after="0" w:line="287" w:lineRule="auto"/>
        <w:rPr>
          <w:sz w:val="20"/>
          <w:szCs w:val="20"/>
          <w:color w:val="auto"/>
        </w:rPr>
      </w:pPr>
      <w:r>
        <w:rPr>
          <w:rFonts w:ascii="Times New Roman" w:cs="Times New Roman" w:eastAsia="Times New Roman" w:hAnsi="Times New Roman"/>
          <w:sz w:val="17"/>
          <w:szCs w:val="17"/>
          <w:color w:val="auto"/>
        </w:rPr>
        <w:t>The market price of our common stock may be highly volatile and fluctuate or decline significantly in response to numerous factors, many of which are beyond our control, including:</w:t>
      </w:r>
    </w:p>
    <w:p>
      <w:pPr>
        <w:spacing w:after="0" w:line="100" w:lineRule="exact"/>
        <w:rPr>
          <w:sz w:val="20"/>
          <w:szCs w:val="20"/>
          <w:color w:val="auto"/>
        </w:rPr>
      </w:pPr>
    </w:p>
    <w:p>
      <w:pPr>
        <w:ind w:left="620" w:right="280" w:hanging="307"/>
        <w:spacing w:after="0" w:line="287"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between our actual operating results, or those of companies that are perceived to be similar to us, and the expectations of securities analysts, investors and the financial community;</w:t>
      </w:r>
    </w:p>
    <w:p>
      <w:pPr>
        <w:spacing w:after="0" w:line="99"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forward-looking financial or operating information we may provide to the public or securities analysts, any changes in this information or our failure to meet expectations based on this information;</w:t>
      </w:r>
    </w:p>
    <w:p>
      <w:pPr>
        <w:spacing w:after="0" w:line="99"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shares of our common stock being sold into the market by us or our existing stockholders, or the anticipation of such sales;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hedging activities by market participants;</w:t>
      </w:r>
    </w:p>
    <w:p>
      <w:pPr>
        <w:spacing w:after="0" w:line="165" w:lineRule="exact"/>
        <w:rPr>
          <w:rFonts w:ascii="Times New Roman" w:cs="Times New Roman" w:eastAsia="Times New Roman" w:hAnsi="Times New Roman"/>
          <w:sz w:val="17"/>
          <w:szCs w:val="17"/>
          <w:color w:val="auto"/>
        </w:rPr>
      </w:pPr>
    </w:p>
    <w:p>
      <w:pPr>
        <w:ind w:left="620" w:right="240" w:hanging="307"/>
        <w:spacing w:after="0" w:line="287"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products or features, technical innovations, acquisitions, strategic partnerships, joint ventures or capital commitments;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companies in our industry, including our competitors;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third-party payor reimbursement policies;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obtain additional funding;</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including price and volume fluctuations in the overall stock market;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threatened or filed against us;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new legislation and pending lawsuits or regulatory actions, including interim or final rulings by judicial or regulatory bodies; and</w:t>
      </w:r>
    </w:p>
    <w:p>
      <w:pPr>
        <w:spacing w:after="0" w:line="165"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political conditions, election cycles, war or incidents of terrorism, or responses to these events, many of which are outside of our control.</w:t>
      </w:r>
    </w:p>
    <w:p>
      <w:pPr>
        <w:spacing w:after="0" w:line="100" w:lineRule="exact"/>
        <w:rPr>
          <w:sz w:val="20"/>
          <w:szCs w:val="20"/>
          <w:color w:val="auto"/>
        </w:rPr>
      </w:pPr>
    </w:p>
    <w:p>
      <w:pPr>
        <w:ind w:right="220" w:firstLine="309"/>
        <w:spacing w:after="0" w:line="261" w:lineRule="auto"/>
        <w:rPr>
          <w:sz w:val="20"/>
          <w:szCs w:val="20"/>
          <w:color w:val="auto"/>
        </w:rPr>
      </w:pPr>
      <w:r>
        <w:rPr>
          <w:rFonts w:ascii="Times New Roman" w:cs="Times New Roman" w:eastAsia="Times New Roman" w:hAnsi="Times New Roman"/>
          <w:sz w:val="17"/>
          <w:szCs w:val="17"/>
          <w:color w:val="auto"/>
        </w:rPr>
        <w:t>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spacing w:after="0" w:line="123" w:lineRule="exact"/>
        <w:rPr>
          <w:sz w:val="20"/>
          <w:szCs w:val="20"/>
          <w:color w:val="auto"/>
        </w:rPr>
      </w:pPr>
    </w:p>
    <w:p>
      <w:pPr>
        <w:ind w:right="140" w:firstLine="309"/>
        <w:spacing w:after="0" w:line="264" w:lineRule="auto"/>
        <w:rPr>
          <w:sz w:val="20"/>
          <w:szCs w:val="20"/>
          <w:color w:val="auto"/>
        </w:rPr>
      </w:pPr>
      <w:r>
        <w:rPr>
          <w:rFonts w:ascii="Times New Roman" w:cs="Times New Roman" w:eastAsia="Times New Roman" w:hAnsi="Times New Roman"/>
          <w:sz w:val="17"/>
          <w:szCs w:val="17"/>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price of our common stock could decline substantially. Such a stock price decline could occur even when we have met any previously publicly stated revenue or earnings forecasts that we may provide.</w:t>
      </w:r>
    </w:p>
    <w:p>
      <w:pPr>
        <w:spacing w:after="0" w:line="94"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94" w:lineRule="exact"/>
        <w:rPr>
          <w:sz w:val="20"/>
          <w:szCs w:val="20"/>
          <w:color w:val="auto"/>
        </w:rPr>
      </w:pPr>
    </w:p>
    <w:p>
      <w:pPr>
        <w:jc w:val="both"/>
        <w:ind w:right="80" w:firstLine="309"/>
        <w:spacing w:after="0" w:line="261"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loan and security agreement with Canadian Imperial Bank of Commerce restrict our ability to pay dividends to limited circumstances. Accordingly, investors must rely on sales of their common stock after price appreciation, which may never occur, as the only way to realize any future gains on their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securities issuances could result in significant dilution to our stockholders and impair the market price of our common stock.</w:t>
      </w:r>
    </w:p>
    <w:p>
      <w:pPr>
        <w:spacing w:after="0" w:line="171"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w:t>
      </w:r>
    </w:p>
    <w:p>
      <w:pPr>
        <w:spacing w:after="0" w:line="11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94" w:lineRule="exact"/>
        <w:rPr>
          <w:sz w:val="20"/>
          <w:szCs w:val="20"/>
          <w:color w:val="auto"/>
        </w:rPr>
      </w:pPr>
    </w:p>
    <w:p>
      <w:pPr>
        <w:ind w:right="40" w:firstLine="309"/>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and bylaws currently in effect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14" w:lineRule="exact"/>
        <w:rPr>
          <w:sz w:val="20"/>
          <w:szCs w:val="20"/>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 classified board of directors so that not all members of our board of directors are elected at one time;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our board of directors to establish the number of directors and fill any vacancies and newly-created directorships;</w:t>
      </w:r>
    </w:p>
    <w:p>
      <w:pPr>
        <w:spacing w:after="0" w:line="165" w:lineRule="exact"/>
        <w:rPr>
          <w:rFonts w:ascii="Times New Roman" w:cs="Times New Roman" w:eastAsia="Times New Roman" w:hAnsi="Times New Roman"/>
          <w:sz w:val="17"/>
          <w:szCs w:val="17"/>
          <w:color w:val="auto"/>
        </w:rPr>
      </w:pPr>
    </w:p>
    <w:p>
      <w:pPr>
        <w:ind w:left="620" w:right="320" w:hanging="307"/>
        <w:spacing w:after="0" w:line="287"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directors may only be removed for cause and only by the affirmative vote of the holders of at least a majority of the voting power of all then outstanding shares of our capital stock;</w:t>
      </w:r>
    </w:p>
    <w:p>
      <w:pPr>
        <w:spacing w:after="0" w:line="99" w:lineRule="exact"/>
        <w:rPr>
          <w:rFonts w:ascii="Times New Roman" w:cs="Times New Roman" w:eastAsia="Times New Roman" w:hAnsi="Times New Roman"/>
          <w:sz w:val="17"/>
          <w:szCs w:val="17"/>
          <w:color w:val="auto"/>
        </w:rPr>
      </w:pPr>
    </w:p>
    <w:p>
      <w:pPr>
        <w:ind w:left="620" w:right="340" w:hanging="307"/>
        <w:spacing w:after="0" w:line="287"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approval of holders of two-thirds of our outstanding common stock to amend some provisions in our amended and restated certificate of incorporation and bylaws;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issuance of “blank check” preferred stock that our board of directors could use to implement a stockholder rights plan;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stockholders from calling special meetings of stockholders;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 action by written consent, which has the effect of requiring all stockholder actions to be taken at a meeting of our stockholders;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the board of directors is expressly authorized to make, alter or repeal our bylaws;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the forum for certain litigation involving us to Delaware or federal courts, as applicable; and</w:t>
      </w:r>
    </w:p>
    <w:p>
      <w:pPr>
        <w:spacing w:after="0" w:line="165" w:lineRule="exact"/>
        <w:rPr>
          <w:rFonts w:ascii="Times New Roman" w:cs="Times New Roman" w:eastAsia="Times New Roman" w:hAnsi="Times New Roman"/>
          <w:sz w:val="17"/>
          <w:szCs w:val="17"/>
          <w:color w:val="auto"/>
        </w:rPr>
      </w:pPr>
    </w:p>
    <w:p>
      <w:pPr>
        <w:ind w:left="620" w:right="620" w:hanging="307"/>
        <w:spacing w:after="0" w:line="287"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requirements for nominations for election to our board of directors or for proposing matters that can be acted upon by stockholders at annual stockholder meetings.</w:t>
      </w:r>
    </w:p>
    <w:p>
      <w:pPr>
        <w:spacing w:after="0" w:line="100" w:lineRule="exact"/>
        <w:rPr>
          <w:sz w:val="20"/>
          <w:szCs w:val="20"/>
          <w:color w:val="auto"/>
        </w:rPr>
      </w:pPr>
    </w:p>
    <w:p>
      <w:pPr>
        <w:ind w:right="40" w:firstLine="309"/>
        <w:spacing w:after="0" w:line="287" w:lineRule="auto"/>
        <w:rPr>
          <w:sz w:val="20"/>
          <w:szCs w:val="20"/>
          <w:color w:val="auto"/>
        </w:rPr>
      </w:pPr>
      <w:r>
        <w:rPr>
          <w:rFonts w:ascii="Times New Roman" w:cs="Times New Roman" w:eastAsia="Times New Roman" w:hAnsi="Times New Roman"/>
          <w:sz w:val="17"/>
          <w:szCs w:val="17"/>
          <w:color w:val="auto"/>
        </w:rPr>
        <w:t>Any provision of our amended and restated certificate of incorporation currently in effect or Delaware law that has the effect of delaying or deterring a change in control could limit the opportunity for our stockholders to receive a premium for</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their shares of our common stock, and could also affect the price that some investors are willing to pay for our common stock.</w:t>
      </w:r>
    </w:p>
    <w:p>
      <w:pPr>
        <w:spacing w:after="0" w:line="165" w:lineRule="exact"/>
        <w:rPr>
          <w:sz w:val="20"/>
          <w:szCs w:val="20"/>
          <w:color w:val="auto"/>
        </w:rPr>
      </w:pPr>
    </w:p>
    <w:p>
      <w:pPr>
        <w:ind w:right="200" w:firstLine="309"/>
        <w:spacing w:after="0" w:line="287" w:lineRule="auto"/>
        <w:rPr>
          <w:sz w:val="20"/>
          <w:szCs w:val="20"/>
          <w:color w:val="auto"/>
        </w:rPr>
      </w:pPr>
      <w:r>
        <w:rPr>
          <w:rFonts w:ascii="Times New Roman" w:cs="Times New Roman" w:eastAsia="Times New Roman" w:hAnsi="Times New Roman"/>
          <w:sz w:val="17"/>
          <w:szCs w:val="17"/>
          <w:color w:val="auto"/>
        </w:rPr>
        <w:t>The provisions of our amended and restated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spacing w:after="0" w:line="100" w:lineRule="exact"/>
        <w:rPr>
          <w:sz w:val="20"/>
          <w:szCs w:val="20"/>
          <w:color w:val="auto"/>
        </w:rPr>
      </w:pPr>
    </w:p>
    <w:p>
      <w:pPr>
        <w:ind w:right="60" w:firstLine="309"/>
        <w:spacing w:after="0" w:line="257" w:lineRule="auto"/>
        <w:rPr>
          <w:sz w:val="20"/>
          <w:szCs w:val="20"/>
          <w:color w:val="auto"/>
        </w:rPr>
      </w:pPr>
      <w:r>
        <w:rPr>
          <w:rFonts w:ascii="Times New Roman" w:cs="Times New Roman" w:eastAsia="Times New Roman" w:hAnsi="Times New Roman"/>
          <w:sz w:val="17"/>
          <w:szCs w:val="17"/>
          <w:color w:val="auto"/>
        </w:rPr>
        <w:t>Our amended and restated certificate of incorporation currently in effect provide that, unless we consent in writing to the selection of an alternative forum, the sole and exclusive forum, to the fullest extent permitted by law, for (i) any derivative action or proceeding brought on our behalf, (ii) any action asserting a breach of a fiduciary duty owed by any director, officer or other employee to us or our stockholders, (iii) any action asserting a claim against us or any director, officer, or other employee arising pursuant to the Delaware General Corporation Law, (iv) any action to interpret, apply, enforce, or determine the validity of our second amended and restated certificate of incorporation or amended and restated bylaws, or (v)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w:t>
      </w:r>
    </w:p>
    <w:p>
      <w:pPr>
        <w:spacing w:after="0" w:line="124" w:lineRule="exact"/>
        <w:rPr>
          <w:sz w:val="20"/>
          <w:szCs w:val="20"/>
          <w:color w:val="auto"/>
        </w:rPr>
      </w:pPr>
    </w:p>
    <w:p>
      <w:pPr>
        <w:ind w:right="60" w:firstLine="309"/>
        <w:spacing w:after="0" w:line="257" w:lineRule="auto"/>
        <w:rPr>
          <w:sz w:val="20"/>
          <w:szCs w:val="20"/>
          <w:color w:val="auto"/>
        </w:rPr>
      </w:pPr>
      <w:r>
        <w:rPr>
          <w:rFonts w:ascii="Times New Roman" w:cs="Times New Roman" w:eastAsia="Times New Roman" w:hAnsi="Times New Roman"/>
          <w:sz w:val="17"/>
          <w:szCs w:val="17"/>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 These provisions may also result in increased costs for investors seeking to bring a claim against us or any of our directors, officers or other employees.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163"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maintain adequate internal control over financial reporting, or if we are unable to produce timely or accurate financial statements, investors may lose confidence in our operating results and the trading price of our common stock could decline.</w:t>
      </w:r>
    </w:p>
    <w:p>
      <w:pPr>
        <w:spacing w:after="0" w:line="9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Exchange Act. As a result, 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As a result of becoming a public company, we will be required, in order to comply with the SEC’s rules and regulations, to furnish a report by management on, among other things, the effectiveness of our internal control over financial reporting.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28" w:lineRule="exact"/>
        <w:rPr>
          <w:sz w:val="20"/>
          <w:szCs w:val="20"/>
          <w:color w:val="auto"/>
        </w:rPr>
      </w:pPr>
    </w:p>
    <w:p>
      <w:pPr>
        <w:ind w:right="60" w:firstLine="309"/>
        <w:spacing w:after="0" w:line="287" w:lineRule="auto"/>
        <w:rPr>
          <w:sz w:val="20"/>
          <w:szCs w:val="20"/>
          <w:color w:val="auto"/>
        </w:rPr>
      </w:pPr>
      <w:r>
        <w:rPr>
          <w:rFonts w:ascii="Times New Roman" w:cs="Times New Roman" w:eastAsia="Times New Roman" w:hAnsi="Times New Roman"/>
          <w:sz w:val="17"/>
          <w:szCs w:val="17"/>
          <w:color w:val="auto"/>
        </w:rPr>
        <w:t>If we are not able to maintain adequate internal control over financial reporting, or if we identify material weaknesses in future periods, we may not be able to produce timely or accurate financial statements, investors may lose confidence in our operating results, and the trading price of our common stock could decline.</w:t>
      </w:r>
    </w:p>
    <w:p>
      <w:pPr>
        <w:spacing w:after="0" w:line="94" w:lineRule="exact"/>
        <w:rPr>
          <w:sz w:val="20"/>
          <w:szCs w:val="20"/>
          <w:color w:val="auto"/>
        </w:rPr>
      </w:pPr>
    </w:p>
    <w:p>
      <w:pPr>
        <w:jc w:val="both"/>
        <w:ind w:right="6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 financial information.</w:t>
      </w:r>
    </w:p>
    <w:p>
      <w:pPr>
        <w:spacing w:after="0" w:line="112" w:lineRule="exact"/>
        <w:rPr>
          <w:sz w:val="20"/>
          <w:szCs w:val="20"/>
          <w:color w:val="auto"/>
        </w:rPr>
      </w:pPr>
    </w:p>
    <w:p>
      <w:pPr>
        <w:ind w:right="100" w:firstLine="309"/>
        <w:spacing w:after="0" w:line="287" w:lineRule="auto"/>
        <w:rPr>
          <w:sz w:val="20"/>
          <w:szCs w:val="20"/>
          <w:color w:val="auto"/>
        </w:rPr>
      </w:pPr>
      <w:r>
        <w:rPr>
          <w:rFonts w:ascii="Times New Roman" w:cs="Times New Roman" w:eastAsia="Times New Roman" w:hAnsi="Times New Roman"/>
          <w:sz w:val="17"/>
          <w:szCs w:val="17"/>
          <w:color w:val="auto"/>
        </w:rPr>
        <w:t>Section 404 of the Sarbanes-Oxley Act requires that we maintain effective internal control over financial reporting and disclosure controls and procedures. In particular, we must perform system and process evaluations, document our controls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and perform 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expect will continue. We anticipate hiring additional accounting and financial staff with appropriate public company experience and technical accounting knowledge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result in more litigation, and divert management’s attention.</w:t>
      </w:r>
    </w:p>
    <w:p>
      <w:pPr>
        <w:spacing w:after="0" w:line="171"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the Dodd-Frank Wall Street Reform and Consumer Protection Act, or the Dodd-Frank Act, the listing requirements of The Nasdaq Stock Market,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spacing w:after="0" w:line="124" w:lineRule="exact"/>
        <w:rPr>
          <w:sz w:val="20"/>
          <w:szCs w:val="20"/>
          <w:color w:val="auto"/>
        </w:rPr>
      </w:pPr>
    </w:p>
    <w:p>
      <w:pPr>
        <w:ind w:right="140" w:firstLine="309"/>
        <w:spacing w:after="0" w:line="258" w:lineRule="auto"/>
        <w:rPr>
          <w:sz w:val="20"/>
          <w:szCs w:val="20"/>
          <w:color w:val="auto"/>
        </w:rPr>
      </w:pPr>
      <w:r>
        <w:rPr>
          <w:rFonts w:ascii="Times New Roman" w:cs="Times New Roman" w:eastAsia="Times New Roman" w:hAnsi="Times New Roman"/>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24" w:lineRule="exact"/>
        <w:rPr>
          <w:sz w:val="20"/>
          <w:szCs w:val="20"/>
          <w:color w:val="auto"/>
        </w:rPr>
      </w:pPr>
    </w:p>
    <w:p>
      <w:pPr>
        <w:jc w:val="both"/>
        <w:ind w:right="120" w:firstLine="309"/>
        <w:spacing w:after="0" w:line="270" w:lineRule="auto"/>
        <w:rPr>
          <w:sz w:val="20"/>
          <w:szCs w:val="20"/>
          <w:color w:val="auto"/>
        </w:rPr>
      </w:pPr>
      <w:r>
        <w:rPr>
          <w:rFonts w:ascii="Times New Roman" w:cs="Times New Roman" w:eastAsia="Times New Roman" w:hAnsi="Times New Roman"/>
          <w:sz w:val="17"/>
          <w:szCs w:val="17"/>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spacing w:after="0" w:line="114" w:lineRule="exact"/>
        <w:rPr>
          <w:sz w:val="20"/>
          <w:szCs w:val="20"/>
          <w:color w:val="auto"/>
        </w:rPr>
      </w:pPr>
    </w:p>
    <w:p>
      <w:pPr>
        <w:ind w:right="20" w:firstLine="309"/>
        <w:spacing w:after="0" w:line="264" w:lineRule="auto"/>
        <w:rPr>
          <w:sz w:val="20"/>
          <w:szCs w:val="20"/>
          <w:color w:val="auto"/>
        </w:rPr>
      </w:pPr>
      <w:r>
        <w:rPr>
          <w:rFonts w:ascii="Times New Roman" w:cs="Times New Roman" w:eastAsia="Times New Roman" w:hAnsi="Times New Roman"/>
          <w:sz w:val="17"/>
          <w:szCs w:val="17"/>
          <w:color w:val="auto"/>
        </w:rPr>
        <w:t>By disclosing information in this Annual Report on Form 10-K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and other legal proceedings may adversely affect our business.</w:t>
      </w:r>
    </w:p>
    <w:p>
      <w:pPr>
        <w:spacing w:after="0" w:line="171" w:lineRule="exact"/>
        <w:rPr>
          <w:sz w:val="20"/>
          <w:szCs w:val="20"/>
          <w:color w:val="auto"/>
        </w:rPr>
      </w:pPr>
    </w:p>
    <w:p>
      <w:pPr>
        <w:jc w:val="both"/>
        <w:ind w:right="120" w:firstLine="309"/>
        <w:spacing w:after="0" w:line="270" w:lineRule="auto"/>
        <w:rPr>
          <w:sz w:val="20"/>
          <w:szCs w:val="20"/>
          <w:color w:val="auto"/>
        </w:rPr>
      </w:pPr>
      <w:r>
        <w:rPr>
          <w:rFonts w:ascii="Times New Roman" w:cs="Times New Roman" w:eastAsia="Times New Roman" w:hAnsi="Times New Roman"/>
          <w:sz w:val="17"/>
          <w:szCs w:val="17"/>
          <w:color w:val="auto"/>
        </w:rPr>
        <w:t>From time-to-time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unpredictable and can result in excessive or unanticipated verdicts and/or injunctive relief that affect how we operate our business. Regardless of merit, litigation may be time-consuming and disruptive to our operations and result in significant legal costs (including judgments, settlements, legal fees, and other related defense costs). If we do not prevail in these legal proceedings,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robotic systems, even if the regulatory or legal action is unfounded or not material to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economic and financial market conditions may exacerbate our business risks.</w:t>
      </w:r>
    </w:p>
    <w:p>
      <w:pPr>
        <w:spacing w:after="0" w:line="171" w:lineRule="exact"/>
        <w:rPr>
          <w:sz w:val="20"/>
          <w:szCs w:val="20"/>
          <w:color w:val="auto"/>
        </w:rPr>
      </w:pPr>
    </w:p>
    <w:p>
      <w:pPr>
        <w:ind w:right="100" w:firstLine="309"/>
        <w:spacing w:after="0" w:line="261" w:lineRule="auto"/>
        <w:rPr>
          <w:sz w:val="20"/>
          <w:szCs w:val="20"/>
          <w:color w:val="auto"/>
        </w:rPr>
      </w:pPr>
      <w:r>
        <w:rPr>
          <w:rFonts w:ascii="Times New Roman" w:cs="Times New Roman" w:eastAsia="Times New Roman" w:hAnsi="Times New Roman"/>
          <w:sz w:val="17"/>
          <w:szCs w:val="17"/>
          <w:color w:val="auto"/>
        </w:rPr>
        <w:t>Global macroeconomic conditions and the world’s financial markets remain susceptible to significant stresses, including from inflation and central bank policies among other sources. Such stresses may result in reductions in available credit and government spending, economic downturn or stagnation, foreign currency fluctuations and volatility in the valuations of securities generally. Our customers and distributors may respond to such economic pressures by reducing or deferring their capital spending or reducing staff. Furthermore, unfavorable changes in foreign exchange rates versus the U.S. dollar could increase our product and labor costs, thus reducing our gross profit.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Ongoing and potential conflicts could adversely affect our business, financial condition, or results of operations.</w:t>
      </w:r>
    </w:p>
    <w:p>
      <w:pPr>
        <w:spacing w:after="0" w:line="171"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The length, impact, and outcome of ongoing military conflicts is highly unpredictable and could lead to significant market and other disruptions, including significant volatility in commodity prices and supply of energy resources, instability in financial markets, supply chain interruptions, social and political, trade barriers or disputes, changes in consumer preferences, as well as an increase in espionage and cyberattacks. The extent and duration of the military action, sanctions, other consequences could be significant and could potentially have substantial impact on the global economy and our business for an unknown period of time. Impacts to our business may include, but are not limited to, procedures performed, demand for our products, and ability to spend on capital equipment and healthcare in general. A broadening of this conflict, or the initiation of other conflicts globally may heighten these risks. Any such disruption may also amplify the impact of other risks described.</w:t>
      </w:r>
    </w:p>
    <w:p>
      <w:pPr>
        <w:spacing w:after="0" w:line="128"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are actively monitoring the ongoing conflict between Israel and Hamas and assessing the impacts on our business, including our business partners and customers. To date, we have not experienced any material interruptions in our operations. We have no way to predict the progress, outcome, or consequences of the military conflict in the Israel-Gaza regions and any potential increases in hostilities in the Middle East.</w:t>
      </w:r>
    </w:p>
    <w:p>
      <w:pPr>
        <w:spacing w:after="0" w:line="108"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94"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8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increasing focus on environmental sustainability and social initiatives could increase our costs, harm our reputation and adversely impact our financial results.</w:t>
      </w:r>
    </w:p>
    <w:p>
      <w:pPr>
        <w:spacing w:after="0" w:line="185"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an adverse impact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0" w:firstLine="309"/>
        <w:spacing w:after="0" w:line="270" w:lineRule="auto"/>
        <w:rPr>
          <w:sz w:val="20"/>
          <w:szCs w:val="20"/>
          <w:color w:val="auto"/>
        </w:rPr>
      </w:pPr>
      <w:r>
        <w:rPr>
          <w:rFonts w:ascii="Times New Roman" w:cs="Times New Roman" w:eastAsia="Times New Roman" w:hAnsi="Times New Roman"/>
          <w:sz w:val="17"/>
          <w:szCs w:val="17"/>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169"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We have established policies and processes for assessing, identifying, and managing material risks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20"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Our information technology team conducts monthly security assessments to identify cybersecurity threats utilizing third-party experts retained by us, as well as assessments in the event of a material change in our business practices that may affect information systems that are vulnerable to such cybersecurity threats. Our research and development team utilizes third-party experts to evaluate cybersecurity risks during our product development process. These risk assessments generally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23" w:lineRule="exact"/>
        <w:rPr>
          <w:sz w:val="20"/>
          <w:szCs w:val="20"/>
          <w:color w:val="auto"/>
        </w:rPr>
      </w:pPr>
    </w:p>
    <w:p>
      <w:pPr>
        <w:ind w:right="120" w:firstLine="309"/>
        <w:spacing w:after="0" w:line="270" w:lineRule="auto"/>
        <w:rPr>
          <w:sz w:val="20"/>
          <w:szCs w:val="20"/>
          <w:color w:val="auto"/>
        </w:rPr>
      </w:pPr>
      <w:r>
        <w:rPr>
          <w:rFonts w:ascii="Times New Roman" w:cs="Times New Roman" w:eastAsia="Times New Roman" w:hAnsi="Times New Roman"/>
          <w:sz w:val="17"/>
          <w:szCs w:val="17"/>
          <w:color w:val="auto"/>
        </w:rPr>
        <w:t>Following these risk assessments, we reasonably address any identified gaps in existing safeguards and regularly monitor the effectiveness of our safeguards. Our head of information technology periodically makes reports to the Company’s Chief Financial Officer on the results of our risk assessment and mitigation process.</w:t>
      </w:r>
    </w:p>
    <w:p>
      <w:pPr>
        <w:spacing w:after="0" w:line="114"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7"/>
          <w:szCs w:val="17"/>
          <w:color w:val="auto"/>
        </w:rPr>
        <w:t>As part of our overall risk management system, we monitor and test our safeguards and train all of our employees on cybersecurity safeguards related to our information technology systems. Personnel at all levels and departments are made aware of our cybersecurity policies through random cybersecurity testing and remedial trainings. There can be no assurance that our cybersecurity risk management program and processes, including our policies, controls, and procedures, will be fully implemented, complied with or effective in protecting our systems and information.</w:t>
      </w:r>
    </w:p>
    <w:p>
      <w:pPr>
        <w:spacing w:after="0" w:line="120" w:lineRule="exact"/>
        <w:rPr>
          <w:sz w:val="20"/>
          <w:szCs w:val="20"/>
          <w:color w:val="auto"/>
        </w:rPr>
      </w:pPr>
    </w:p>
    <w:p>
      <w:pPr>
        <w:ind w:right="220" w:firstLine="309"/>
        <w:spacing w:after="0" w:line="287" w:lineRule="auto"/>
        <w:rPr>
          <w:sz w:val="20"/>
          <w:szCs w:val="20"/>
          <w:color w:val="auto"/>
        </w:rPr>
      </w:pPr>
      <w:r>
        <w:rPr>
          <w:rFonts w:ascii="Times New Roman" w:cs="Times New Roman" w:eastAsia="Times New Roman" w:hAnsi="Times New Roman"/>
          <w:sz w:val="17"/>
          <w:szCs w:val="17"/>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the section titled “Risk Factors” in this Annual Report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169" w:lineRule="exact"/>
        <w:rPr>
          <w:sz w:val="20"/>
          <w:szCs w:val="20"/>
          <w:color w:val="auto"/>
        </w:rPr>
      </w:pPr>
    </w:p>
    <w:p>
      <w:pPr>
        <w:jc w:val="both"/>
        <w:ind w:right="20" w:firstLine="309"/>
        <w:spacing w:after="0" w:line="270" w:lineRule="auto"/>
        <w:rPr>
          <w:sz w:val="20"/>
          <w:szCs w:val="20"/>
          <w:color w:val="auto"/>
        </w:rPr>
      </w:pPr>
      <w:r>
        <w:rPr>
          <w:rFonts w:ascii="Times New Roman" w:cs="Times New Roman" w:eastAsia="Times New Roman" w:hAnsi="Times New Roman"/>
          <w:sz w:val="17"/>
          <w:szCs w:val="17"/>
          <w:color w:val="auto"/>
        </w:rPr>
        <w:t>One of the key functions of our board of directors is informed oversight of our risk management process, including risks from cybersecurity threats. Our board of directors administers its cybersecurity risk oversight function directly as a whole, as well as through delegation of primary responsibility to the audit committee. The audit committee receives periodic reports, at least annually, on our cybersecurity program, industry best practices, and any incidents or trends.</w:t>
      </w:r>
    </w:p>
    <w:p>
      <w:pPr>
        <w:spacing w:after="0" w:line="114" w:lineRule="exact"/>
        <w:rPr>
          <w:sz w:val="20"/>
          <w:szCs w:val="20"/>
          <w:color w:val="auto"/>
        </w:rPr>
      </w:pPr>
    </w:p>
    <w:p>
      <w:pPr>
        <w:ind w:right="180" w:firstLine="309"/>
        <w:spacing w:after="0" w:line="270" w:lineRule="auto"/>
        <w:rPr>
          <w:sz w:val="20"/>
          <w:szCs w:val="20"/>
          <w:color w:val="auto"/>
        </w:rPr>
      </w:pPr>
      <w:r>
        <w:rPr>
          <w:rFonts w:ascii="Times New Roman" w:cs="Times New Roman" w:eastAsia="Times New Roman" w:hAnsi="Times New Roman"/>
          <w:sz w:val="17"/>
          <w:szCs w:val="17"/>
          <w:color w:val="auto"/>
        </w:rPr>
        <w:t>Our board of directors is responsible for monitoring and assessing strategic risk exposure, and our executive officers are responsible for the day-to-day management of the material risks we face. The audit committee receives annual reports from management personnel responsible for enterprise risk management, which also evaluates cybersecurity among other enterprise level risks on an annual basis.</w:t>
      </w:r>
    </w:p>
    <w:p>
      <w:pPr>
        <w:spacing w:after="0" w:line="191" w:lineRule="exact"/>
        <w:rPr>
          <w:sz w:val="20"/>
          <w:szCs w:val="20"/>
          <w:color w:val="auto"/>
        </w:rPr>
      </w:pPr>
    </w:p>
    <w:p>
      <w:pPr>
        <w:ind w:right="180" w:firstLine="309"/>
        <w:spacing w:after="0" w:line="249" w:lineRule="auto"/>
        <w:rPr>
          <w:sz w:val="20"/>
          <w:szCs w:val="20"/>
          <w:color w:val="auto"/>
        </w:rPr>
      </w:pPr>
      <w:r>
        <w:rPr>
          <w:rFonts w:ascii="Times New Roman" w:cs="Times New Roman" w:eastAsia="Times New Roman" w:hAnsi="Times New Roman"/>
          <w:sz w:val="17"/>
          <w:szCs w:val="17"/>
          <w:color w:val="auto"/>
        </w:rPr>
        <w:t>Our security officer, our Chief Financial Officer, and our head of information technology are primarily responsible to assess and manage our material risks from cybersecurity threats. Our incident response plan designates our head of information technology as primarily responsible for identifying and evaluating any cybersecurity incident or suspected incident, and reporting any such incidents to management (including the security officer, Chief Financial Officer, and Chief Legal Officer) in order for management to evaluate materiality, and to report to our audit committee, our board of directors and make public disclosures as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Our principal office is located at 150 Baytech Drive, San Jose, California, where we lease approximately 158,221 square feet of office space. The principal office lease commenced in July 2022, and will continue for 122 months thereafter, with two five-year options to extend the term of the lease.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Matters</w:t>
      </w:r>
    </w:p>
    <w:p>
      <w:pPr>
        <w:spacing w:after="0" w:line="169" w:lineRule="exact"/>
        <w:rPr>
          <w:sz w:val="20"/>
          <w:szCs w:val="20"/>
          <w:color w:val="auto"/>
        </w:rPr>
      </w:pPr>
    </w:p>
    <w:p>
      <w:pPr>
        <w:ind w:right="180" w:firstLine="309"/>
        <w:spacing w:after="0" w:line="270"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60"/>
          </w:cols>
          <w:pgMar w:left="320" w:top="278" w:right="6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69"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Our common stock has been listed on the Nasdaq Global Market under the symbol “PRCT” since September 14, 2021. Prior to that date, there was no public trading market for our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Common Stock</w:t>
      </w:r>
    </w:p>
    <w:p>
      <w:pPr>
        <w:spacing w:after="0" w:line="169"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As of February 19, 2026, there were 218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69"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loan and security agreement with Canadian Imperial Bank of Commerce. Our ability to pay cash dividends on our capital stock in the future may also be limited by the terms of any preferred securities we may issue or agreements governing any additional indebtedness we may incur.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169" w:lineRule="exact"/>
        <w:rPr>
          <w:sz w:val="20"/>
          <w:szCs w:val="20"/>
          <w:color w:val="auto"/>
        </w:rPr>
      </w:pPr>
    </w:p>
    <w:p>
      <w:pPr>
        <w:ind w:right="40" w:firstLine="309"/>
        <w:spacing w:after="0" w:line="287" w:lineRule="auto"/>
        <w:rPr>
          <w:sz w:val="20"/>
          <w:szCs w:val="20"/>
          <w:color w:val="auto"/>
        </w:rPr>
      </w:pPr>
      <w:r>
        <w:rPr>
          <w:rFonts w:ascii="Times New Roman" w:cs="Times New Roman" w:eastAsia="Times New Roman" w:hAnsi="Times New Roman"/>
          <w:sz w:val="17"/>
          <w:szCs w:val="17"/>
          <w:color w:val="auto"/>
        </w:rPr>
        <w:t>The following shall not be deemed “filed” for purposes of Section 18 of the Exchange Act, or incorporated by reference into any of our other filings under the Exchange Act or the Securities Act of 1933, as amended, except to the extent we specifically incorporate it by reference into such filing.</w:t>
      </w:r>
    </w:p>
    <w:p>
      <w:pPr>
        <w:spacing w:after="0" w:line="100"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This chart compares the cumulative total return on our common stock with that of the NASDAQ Composite Index and the S&amp;P Health Care Equipment Index. The graph assumes $100 was invested in each of the Company’s common stock, the NASDAQ Composite Index and the S&amp;P Health Care Equipment Index, and assumes reinvestment of any dividends. Note that historic stock price performance is not necessarily indicative of future stock price performance.</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475615</wp:posOffset>
            </wp:positionV>
            <wp:extent cx="5206365" cy="4354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06365"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78"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65" w:lineRule="exact"/>
        <w:rPr>
          <w:sz w:val="20"/>
          <w:szCs w:val="20"/>
          <w:color w:val="auto"/>
        </w:rPr>
      </w:pPr>
    </w:p>
    <w:p>
      <w:pPr>
        <w:ind w:right="20" w:firstLine="309"/>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together with our financial statements and related notes are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the section titled “Risk Factors” and elsewhere in this report. Please also see the section titled “Cautionary Note Regarding Forward-Looking Statements.”</w:t>
      </w:r>
    </w:p>
    <w:p>
      <w:pPr>
        <w:spacing w:after="0" w:line="119" w:lineRule="exact"/>
        <w:rPr>
          <w:sz w:val="20"/>
          <w:szCs w:val="20"/>
          <w:color w:val="auto"/>
        </w:rPr>
      </w:pPr>
    </w:p>
    <w:p>
      <w:pPr>
        <w:jc w:val="both"/>
        <w:ind w:right="100"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generally compares our results of operations for the years ended December 31, 2025 and 2024. A detailed discussion comparing our results of operations for the years ended December 31, 2024 and 2023 can be found in Part II, Item 7, “Management’s Discussion and Analysis of Financial Condition and Results of Operations” of our Annual Report on Form 10-K for the year ended December 31,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We are a surgical robotics company focused on advancing patient care by developing transformative solutions in urology. We develop, manufacture and sell the AquaBeam Robotic System and HYDROS Robotic System, which are advanced, image-guided, surgical robotic systems for use in minimally invasive urologic surgery, with an initial focus on treating benign prostatic hyperplasia, or BPH. BPH is the most common prostate disease and impacts approximately 40 million men in the United States. Each of our robotic systems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robotic systems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is independent of prostate size and shape, and delivers resection independent of surgeon experience. We have developed a significant and growing body of clinical evidence, which includes nine clinical studies and over 150 peer-reviewed publications, supporting the benefits and clinical advantages of Aquablation therapy. As of December 31, 2025, we had an install base of 912 AquaBeam Robotic Systems and HYDROS Robotic Systems globally, including 718 in the United States.</w:t>
      </w:r>
    </w:p>
    <w:p>
      <w:pPr>
        <w:spacing w:after="0" w:line="130"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Our U.S. pivotal trial, the WATER study, is the only FDA pivotal study randomized against transurethral resection of prostate, or TURP, which is the historical standard of care for the surgical treatment of BPH.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w:t>
      </w:r>
    </w:p>
    <w:p>
      <w:pPr>
        <w:spacing w:after="0" w:line="122" w:lineRule="exact"/>
        <w:rPr>
          <w:sz w:val="20"/>
          <w:szCs w:val="20"/>
          <w:color w:val="auto"/>
        </w:rPr>
      </w:pPr>
    </w:p>
    <w:p>
      <w:pPr>
        <w:jc w:val="both"/>
        <w:ind w:right="180" w:firstLine="309"/>
        <w:spacing w:after="0" w:line="264" w:lineRule="auto"/>
        <w:rPr>
          <w:sz w:val="20"/>
          <w:szCs w:val="20"/>
          <w:color w:val="auto"/>
        </w:rPr>
      </w:pPr>
      <w:r>
        <w:rPr>
          <w:rFonts w:ascii="Times New Roman" w:cs="Times New Roman" w:eastAsia="Times New Roman" w:hAnsi="Times New Roman"/>
          <w:sz w:val="17"/>
          <w:szCs w:val="17"/>
          <w:color w:val="auto"/>
        </w:rPr>
        <w:t>We manufacture the robotic systems, the single-use disposable handpiece, integrated scope and other accessories at our facility in San Jose, California. This includes supporting the supply chain distribution and logistics of the various components. Components, sub-assemblies and services required to manufacture our products are purchased from numerous global suppliers. Each robotic system is shipped to our customers with a third-party manufactured ultrasound system and probe. We utilize a well-known third-party logistics provider located in the United States and the Netherlands to ship our products to our customers globally.</w:t>
      </w:r>
    </w:p>
    <w:p>
      <w:pPr>
        <w:spacing w:after="0" w:line="120" w:lineRule="exact"/>
        <w:rPr>
          <w:sz w:val="20"/>
          <w:szCs w:val="20"/>
          <w:color w:val="auto"/>
        </w:rPr>
      </w:pPr>
    </w:p>
    <w:p>
      <w:pPr>
        <w:ind w:right="200" w:firstLine="309"/>
        <w:spacing w:after="0" w:line="270" w:lineRule="auto"/>
        <w:rPr>
          <w:sz w:val="20"/>
          <w:szCs w:val="20"/>
          <w:color w:val="auto"/>
        </w:rPr>
      </w:pPr>
      <w:r>
        <w:rPr>
          <w:rFonts w:ascii="Times New Roman" w:cs="Times New Roman" w:eastAsia="Times New Roman" w:hAnsi="Times New Roman"/>
          <w:sz w:val="17"/>
          <w:szCs w:val="17"/>
          <w:color w:val="auto"/>
        </w:rPr>
        <w:t>We generated revenue of $308.1 million and $224.5 million, for the years ended December 31, 2025 and 2024, respectively, and incurred a net loss of $95.6 million and $91.4 million for the years ended December 31, 2025 and 2024, respectively. As of December 31, 2025, we had an accumulated deficit of $641.6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Factors Affecting Our Performance</w:t>
      </w:r>
    </w:p>
    <w:p>
      <w:pPr>
        <w:spacing w:after="0" w:line="171" w:lineRule="exact"/>
        <w:rPr>
          <w:sz w:val="20"/>
          <w:szCs w:val="20"/>
          <w:color w:val="auto"/>
        </w:rPr>
      </w:pPr>
    </w:p>
    <w:p>
      <w:pPr>
        <w:jc w:val="both"/>
        <w:ind w:right="180" w:firstLine="309"/>
        <w:spacing w:after="0" w:line="270" w:lineRule="auto"/>
        <w:rPr>
          <w:sz w:val="20"/>
          <w:szCs w:val="20"/>
          <w:color w:val="auto"/>
        </w:rPr>
      </w:pPr>
      <w:r>
        <w:rPr>
          <w:rFonts w:ascii="Times New Roman" w:cs="Times New Roman" w:eastAsia="Times New Roman" w:hAnsi="Times New Roman"/>
          <w:sz w:val="17"/>
          <w:szCs w:val="17"/>
          <w:color w:val="auto"/>
        </w:rPr>
        <w:t>We believe there are several important factors that have impacted and that we expect will impact our operating performance and results of operations for the foreseeable future. While these factors may present significant opportunities for us, they also pose significant risks and challenges that we must address. See the section titled “Risk Factors” for more information. These factors include:</w:t>
      </w:r>
    </w:p>
    <w:p>
      <w:pPr>
        <w:spacing w:after="0" w:line="110" w:lineRule="exact"/>
        <w:rPr>
          <w:sz w:val="20"/>
          <w:szCs w:val="20"/>
          <w:color w:val="auto"/>
        </w:rPr>
      </w:pPr>
    </w:p>
    <w:p>
      <w:pPr>
        <w:ind w:left="620" w:right="200" w:hanging="307"/>
        <w:spacing w:after="0" w:line="292"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Grow our install base of robotic systems: </w:t>
      </w:r>
      <w:r>
        <w:rPr>
          <w:rFonts w:ascii="Times New Roman" w:cs="Times New Roman" w:eastAsia="Times New Roman" w:hAnsi="Times New Roman"/>
          <w:sz w:val="17"/>
          <w:szCs w:val="17"/>
          <w:color w:val="auto"/>
        </w:rPr>
        <w:t>As of December 31, 2025, we had an install base of 912 robotic systems globally, including 718 in the United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States. In the United States, we are initially focused on driving adoption of</w:t>
      </w: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line="261" w:lineRule="auto"/>
        <w:rPr>
          <w:sz w:val="20"/>
          <w:szCs w:val="20"/>
          <w:color w:val="auto"/>
        </w:rPr>
      </w:pPr>
      <w:r>
        <w:rPr>
          <w:rFonts w:ascii="Times New Roman" w:cs="Times New Roman" w:eastAsia="Times New Roman" w:hAnsi="Times New Roman"/>
          <w:sz w:val="17"/>
          <w:szCs w:val="17"/>
          <w:color w:val="auto"/>
        </w:rPr>
        <w:t>Aquablation therapy among urologists that perform hospital-based resective BPH surgery. We target approximately 2,700 hospitals that perform resective BPH procedures in the United States. To penetrate these hospitals, we expect to continue to increase our direct team of capital sales representatives, who are focused on driving system placement within hospitals by engaging with key surgeons and decision makers to educate them about the compelling value proposition of Aquablation therapy. As we increase our install base of robotic systems, we expect our revenue to increase as a result of the system sale and resulting utilization.</w:t>
      </w:r>
    </w:p>
    <w:p>
      <w:pPr>
        <w:spacing w:after="0" w:line="119" w:lineRule="exact"/>
        <w:rPr>
          <w:sz w:val="20"/>
          <w:szCs w:val="20"/>
          <w:color w:val="auto"/>
        </w:rPr>
      </w:pPr>
    </w:p>
    <w:p>
      <w:pPr>
        <w:ind w:left="620" w:right="60" w:hanging="307"/>
        <w:spacing w:after="0" w:line="261"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Increase system utilization: </w:t>
      </w:r>
      <w:r>
        <w:rPr>
          <w:rFonts w:ascii="Times New Roman" w:cs="Times New Roman" w:eastAsia="Times New Roman" w:hAnsi="Times New Roman"/>
          <w:sz w:val="17"/>
          <w:szCs w:val="17"/>
          <w:color w:val="auto"/>
        </w:rPr>
        <w:t>Our revenue is significantly impacted by the utilization of our robotic systems. Once we place a system within a hospital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expect to leverage their experiences to capture more surgical volumes and establish Aquablation therapy as the surgical standard of care.</w:t>
      </w:r>
    </w:p>
    <w:p>
      <w:pPr>
        <w:spacing w:after="0" w:line="116" w:lineRule="exact"/>
        <w:rPr>
          <w:rFonts w:ascii="Times New Roman" w:cs="Times New Roman" w:eastAsia="Times New Roman" w:hAnsi="Times New Roman"/>
          <w:sz w:val="17"/>
          <w:szCs w:val="17"/>
          <w:color w:val="auto"/>
        </w:rPr>
      </w:pPr>
    </w:p>
    <w:p>
      <w:pPr>
        <w:ind w:left="620" w:right="60" w:hanging="307"/>
        <w:spacing w:after="0" w:line="257"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Reimbursement and coverage decisions by third-party payors. </w:t>
      </w:r>
      <w:r>
        <w:rPr>
          <w:rFonts w:ascii="Times New Roman" w:cs="Times New Roman" w:eastAsia="Times New Roman" w:hAnsi="Times New Roman"/>
          <w:sz w:val="17"/>
          <w:szCs w:val="17"/>
          <w:color w:val="auto"/>
        </w:rPr>
        <w:t>Healthcare providers in the United States generally rely on third-party payors, principally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Medicare, state Medicaid and private health insurance plans, to cover all or part of the cost of procedures using our robotic system. The revenue we are able to generate from sales of our products depends in large part on the availability of sufficient reimbursement from such payors. Effective in 2021, all local MACs, representing 100% of eligible Medicare patients, issued final positive local coverage determinations to provide Medicare beneficiaries with access to Aquablation therapy in all 50 states. We believe that these favorable coverage decisions have been a catalyst for hospital adoption of our robotic systems. We believe our strong body of clinical evidence and support from key societies, supplemented by the momentum from Medicare coverage, have led to favorable coverage decisions from many large commercial payors. We plan to leverage these successes in our active discussions with commercial payors to establish additional positive national and regional coverage policies. We believe that additional commercial payor coverage will contribute to increasing utilization of our system over time. Outside of the United States, we have ongoing efforts in key markets to expand established coverage and further improve patient access to Aquablation therapy.</w:t>
      </w:r>
    </w:p>
    <w:p>
      <w:pPr>
        <w:spacing w:after="0" w:line="124" w:lineRule="exact"/>
        <w:rPr>
          <w:rFonts w:ascii="Times New Roman" w:cs="Times New Roman" w:eastAsia="Times New Roman" w:hAnsi="Times New Roman"/>
          <w:sz w:val="17"/>
          <w:szCs w:val="17"/>
          <w:color w:val="auto"/>
        </w:rPr>
      </w:pPr>
    </w:p>
    <w:p>
      <w:pPr>
        <w:ind w:left="620" w:right="80" w:hanging="307"/>
        <w:spacing w:after="0" w:line="266"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Cost of sales. </w:t>
      </w:r>
      <w:r>
        <w:rPr>
          <w:rFonts w:ascii="Times New Roman" w:cs="Times New Roman" w:eastAsia="Times New Roman" w:hAnsi="Times New Roman"/>
          <w:sz w:val="17"/>
          <w:szCs w:val="17"/>
          <w:color w:val="auto"/>
        </w:rPr>
        <w:t>The results of our operations will depend, in part, on our ability to increase our gross margins by more effectively managing our costs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produce our robotic systems and single-use disposable handpieces, and to scale our manufacturing operations efficiently. We anticipate that as we expand our sales and marketing efforts and drive further sales growth, our purchasing costs on a per unit basis may decrease, and in turn improve our gross margin. As our commercial operations continue to grow, we expect to continue to realize operating leverage through increased scale efficiencies.</w:t>
      </w:r>
    </w:p>
    <w:p>
      <w:pPr>
        <w:spacing w:after="0" w:line="113" w:lineRule="exact"/>
        <w:rPr>
          <w:rFonts w:ascii="Times New Roman" w:cs="Times New Roman" w:eastAsia="Times New Roman" w:hAnsi="Times New Roman"/>
          <w:sz w:val="17"/>
          <w:szCs w:val="17"/>
          <w:color w:val="auto"/>
        </w:rPr>
      </w:pPr>
    </w:p>
    <w:p>
      <w:pPr>
        <w:ind w:left="620" w:right="80" w:hanging="307"/>
        <w:spacing w:after="0" w:line="262"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Investment in research and development to drive continuous improvements and innovation. </w:t>
      </w:r>
      <w:r>
        <w:rPr>
          <w:rFonts w:ascii="Times New Roman" w:cs="Times New Roman" w:eastAsia="Times New Roman" w:hAnsi="Times New Roman"/>
          <w:sz w:val="17"/>
          <w:szCs w:val="17"/>
          <w:color w:val="auto"/>
        </w:rPr>
        <w:t>We are currently developing additional and next generation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technologies to support and improve Aquablation therapy to further satisfy the evolving needs of surgeons and their patients as well as to further enhance the usability and scalability of our robotic systems. We also plan to leverage our treatment data and software development capabilities to integrate artificial intelligence and machine learning to enable computer-assisted anatomy recognition and improved treatment planning and personalization. Our future growth is dependent on these continuous improvements which require significant resources and investment.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71" w:lineRule="exact"/>
        <w:rPr>
          <w:sz w:val="20"/>
          <w:szCs w:val="20"/>
          <w:color w:val="auto"/>
        </w:rPr>
      </w:pPr>
    </w:p>
    <w:p>
      <w:pPr>
        <w:ind w:right="140" w:firstLine="309"/>
        <w:spacing w:after="0" w:line="264" w:lineRule="auto"/>
        <w:rPr>
          <w:sz w:val="20"/>
          <w:szCs w:val="20"/>
          <w:color w:val="auto"/>
        </w:rPr>
      </w:pPr>
      <w:r>
        <w:rPr>
          <w:rFonts w:ascii="Times New Roman" w:cs="Times New Roman" w:eastAsia="Times New Roman" w:hAnsi="Times New Roman"/>
          <w:sz w:val="17"/>
          <w:szCs w:val="17"/>
          <w:color w:val="auto"/>
        </w:rPr>
        <w:t>We generate our revenue primarily from the sales and rentals of our robotic systems, sales of our single-use disposable handpieces that are used during each surgery performed with our system, and related accessories. Additionally, we also derive revenue from service and repair and extended service contracts with our existing customers. We expect our revenue to increase in absolute dollars for the foreseeable future as we continue to focus on driving adoption of Aquablation therapy, and increased system utilization, though it may fluctuate from quarter to quarter.</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revenue by significant geographical locations for the periods indicated:</w:t>
      </w:r>
    </w:p>
    <w:p>
      <w:pPr>
        <w:spacing w:after="0" w:line="196"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8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7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89 %</w:t>
            </w:r>
          </w:p>
        </w:tc>
      </w:tr>
      <w:tr>
        <w:trPr>
          <w:trHeight w:val="223"/>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Outside the United States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r>
    </w:tbl>
    <w:p>
      <w:pPr>
        <w:spacing w:after="0" w:line="225" w:lineRule="exact"/>
        <w:rPr>
          <w:sz w:val="20"/>
          <w:szCs w:val="20"/>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We expect that both our United States and international revenue will increase in the near term as we continue to expand the install base of our robotic systems and increase the related single-use disposable handpieces sold. We expect our increase in revenue in absolute dollars to be larger in the United States.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 and Gross Margin</w:t>
      </w:r>
    </w:p>
    <w:p>
      <w:pPr>
        <w:spacing w:after="0" w:line="171" w:lineRule="exact"/>
        <w:rPr>
          <w:sz w:val="20"/>
          <w:szCs w:val="20"/>
          <w:color w:val="auto"/>
        </w:rPr>
      </w:pPr>
    </w:p>
    <w:p>
      <w:pPr>
        <w:ind w:right="140" w:firstLine="309"/>
        <w:spacing w:after="0" w:line="261" w:lineRule="auto"/>
        <w:rPr>
          <w:sz w:val="20"/>
          <w:szCs w:val="20"/>
          <w:color w:val="auto"/>
        </w:rPr>
      </w:pPr>
      <w:r>
        <w:rPr>
          <w:rFonts w:ascii="Times New Roman" w:cs="Times New Roman" w:eastAsia="Times New Roman" w:hAnsi="Times New Roman"/>
          <w:sz w:val="17"/>
          <w:szCs w:val="17"/>
          <w:color w:val="auto"/>
        </w:rPr>
        <w:t>Cost of sales consists primarily of manufacturing overhead costs, material costs, warranty and service costs, direct labor, scrap and other direct costs such as shipping costs. A significant portion of our cost of sales currently consists of manufacturing overhead costs. These overhead costs include compensation for personnel, including stock-based compensation, facilities, equipment and operations supervision, quality assurance and material procurement. We expect our cost of sales to increase in absolute dollars for the foreseeable future primarily as, and to the extent, our revenue grows, or we make additional investments in our manufacturing capabilities, though it may fluctuate from period to period.</w:t>
      </w:r>
    </w:p>
    <w:p>
      <w:pPr>
        <w:spacing w:after="0" w:line="123" w:lineRule="exact"/>
        <w:rPr>
          <w:sz w:val="20"/>
          <w:szCs w:val="20"/>
          <w:color w:val="auto"/>
        </w:rPr>
      </w:pPr>
    </w:p>
    <w:p>
      <w:pPr>
        <w:ind w:right="100" w:firstLine="309"/>
        <w:spacing w:after="0" w:line="260" w:lineRule="auto"/>
        <w:rPr>
          <w:sz w:val="20"/>
          <w:szCs w:val="20"/>
          <w:color w:val="auto"/>
        </w:rPr>
      </w:pPr>
      <w:r>
        <w:rPr>
          <w:rFonts w:ascii="Times New Roman" w:cs="Times New Roman" w:eastAsia="Times New Roman" w:hAnsi="Times New Roman"/>
          <w:sz w:val="17"/>
          <w:szCs w:val="17"/>
          <w:color w:val="auto"/>
        </w:rPr>
        <w:t>We calculate gross margin percentage as gross profit divided by revenue. Our gross margin has been and will continue to be affected by a variety of factors, primarily, product and geographic mix and the resulting average selling prices, production volumes, manufacturing costs and product yields, and to a lesser extent the implementation of cost reduction strategies. We expect our gross margin to increase over the long term as our production volume increases and as we spread the fixed portion of our manufacturing overhead costs over a larger number of units produced, thereby significantly reducing our per unit manufacturing costs, though it may fluctuate from quarter to quarter. Our gross margins can fluctuate due to geographic mix. To the extent we sell more systems and handpieces in the United States, we expect our margins will increase due to the higher average selling prices as compared to sales outside of the United States.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69"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Research and development, or R&amp;D, expenses consist primarily of engineering, product development, regulatory affairs, consulting services, clinical trial expenses, materials, depreciation and other costs associated with products and technologies being developed. These expenses include employee and non-employee compensation, including stock-based compensation, supplies, materials, quality assurance expenses, consulting, related travel expenses and facilities expenses. We expect our R&amp;D expenses to increase in absolute dollars for the foreseeable future as we make strategic investments in R&amp;D, continue to develop and enhance existing products and technologies, though it may fluctuate from quarter to quarter. However, over time, we expect our R&amp;D expenses to decrease as a percentage of revenue.</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1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Selling, general and administrative, or SG&amp;A, expenses consist primarily of compensation for personnel, including stock-based compensation, related to selling, marketing, clinical affairs, professional education, finance, information technology, and human resource functions. SG&amp;A expenses also include commissions, training, travel expenses, promotional activities, conferences, trade shows, professional services fees, audit fees, legal fees, insurance costs, bad debt expense and general corporate expenses including allocated facilities-related expenses. Post-market clinical study expenses include trial design, site reimbursement, data management and travel expenses. We expect our SG&amp;A expenses to increase in absolute dollars for the foreseeable future as we expand our commercial infrastructure in order for us to execute on our long-term growth plan, though it may fluctuate from quarter to quarter. However, over time, we expect our SG&amp;A expenses to decrease as a percentage of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(Expense), Net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Interest expense consists primarily of interest expense from our long-term debt.</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Interest and Other Income, Net</w:t>
      </w: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00" w:firstLine="309"/>
        <w:spacing w:after="0" w:line="287" w:lineRule="auto"/>
        <w:rPr>
          <w:sz w:val="20"/>
          <w:szCs w:val="20"/>
          <w:color w:val="auto"/>
        </w:rPr>
      </w:pPr>
      <w:r>
        <w:rPr>
          <w:rFonts w:ascii="Times New Roman" w:cs="Times New Roman" w:eastAsia="Times New Roman" w:hAnsi="Times New Roman"/>
          <w:sz w:val="17"/>
          <w:szCs w:val="17"/>
          <w:color w:val="auto"/>
        </w:rPr>
        <w:t>Interest and other income, net, consists primarily of interest income from our cash and cash equivalents balances, and fair value adjustments from our loan facility derivative liability.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71" w:lineRule="exact"/>
        <w:rPr>
          <w:sz w:val="20"/>
          <w:szCs w:val="20"/>
          <w:color w:val="auto"/>
        </w:rPr>
      </w:pPr>
    </w:p>
    <w:p>
      <w:pPr>
        <w:jc w:val="both"/>
        <w:ind w:right="40" w:firstLine="309"/>
        <w:spacing w:after="0" w:line="261" w:lineRule="auto"/>
        <w:rPr>
          <w:sz w:val="20"/>
          <w:szCs w:val="20"/>
          <w:color w:val="auto"/>
        </w:rPr>
      </w:pPr>
      <w:r>
        <w:rPr>
          <w:rFonts w:ascii="Times New Roman" w:cs="Times New Roman" w:eastAsia="Times New Roman" w:hAnsi="Times New Roman"/>
          <w:sz w:val="17"/>
          <w:szCs w:val="17"/>
          <w:color w:val="auto"/>
        </w:rPr>
        <w:t>The provision for income taxes consists primarily of foreign income taxes, as the Company does not have U.S. federal or state taxable income for the periods presented.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2025 and 2024</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shows our results of operations for the years ended December 31, 2025 and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308,054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224,498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83,556</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7"/>
                <w:szCs w:val="17"/>
                <w:color w:val="auto"/>
                <w:w w:val="93"/>
              </w:rPr>
              <w:t>37</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rPr>
              <w:t>111,828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87,399</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24,429</w:t>
            </w: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right="296"/>
              <w:spacing w:after="0"/>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196,226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137,099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59,127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7"/>
                <w:szCs w:val="17"/>
                <w:color w:val="auto"/>
                <w:w w:val="93"/>
              </w:rPr>
              <w:t>43</w:t>
            </w:r>
          </w:p>
        </w:tc>
        <w:tc>
          <w:tcPr>
            <w:tcW w:w="0" w:type="dxa"/>
            <w:vAlign w:val="bottom"/>
          </w:tcPr>
          <w:p>
            <w:pPr>
              <w:spacing w:after="0"/>
              <w:rPr>
                <w:sz w:val="1"/>
                <w:szCs w:val="1"/>
                <w:color w:val="auto"/>
              </w:rPr>
            </w:pPr>
          </w:p>
        </w:tc>
      </w:tr>
      <w:tr>
        <w:trPr>
          <w:trHeight w:val="219"/>
        </w:trPr>
        <w:tc>
          <w:tcPr>
            <w:tcW w:w="490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64 %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61 %</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71,277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62,298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8,979</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7"/>
                <w:szCs w:val="17"/>
                <w:color w:val="auto"/>
                <w:w w:val="93"/>
              </w:rPr>
              <w:t>14</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rPr>
              <w:t>228,808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171,415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57,393</w:t>
            </w: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right="296"/>
              <w:spacing w:after="0"/>
              <w:rPr>
                <w:sz w:val="20"/>
                <w:szCs w:val="20"/>
                <w:color w:val="auto"/>
              </w:rPr>
            </w:pPr>
            <w:r>
              <w:rPr>
                <w:rFonts w:ascii="Times New Roman" w:cs="Times New Roman" w:eastAsia="Times New Roman" w:hAnsi="Times New Roman"/>
                <w:sz w:val="17"/>
                <w:szCs w:val="17"/>
                <w:color w:val="auto"/>
                <w:w w:val="93"/>
              </w:rPr>
              <w:t>33</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300,085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233,713</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66,372</w:t>
            </w:r>
          </w:p>
        </w:tc>
        <w:tc>
          <w:tcPr>
            <w:tcW w:w="4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(103,859)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(96,614)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(7,245)</w:t>
            </w:r>
          </w:p>
        </w:tc>
        <w:tc>
          <w:tcPr>
            <w:tcW w:w="460" w:type="dxa"/>
            <w:vAlign w:val="bottom"/>
          </w:tcPr>
          <w:p>
            <w:pPr>
              <w:spacing w:after="0"/>
              <w:rPr>
                <w:sz w:val="18"/>
                <w:szCs w:val="18"/>
                <w:color w:val="auto"/>
              </w:rPr>
            </w:pPr>
          </w:p>
        </w:tc>
        <w:tc>
          <w:tcPr>
            <w:tcW w:w="1060" w:type="dxa"/>
            <w:vAlign w:val="bottom"/>
          </w:tcPr>
          <w:p>
            <w:pPr>
              <w:jc w:val="center"/>
              <w:ind w:right="296"/>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(3,586)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(4,184)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7"/>
                <w:szCs w:val="17"/>
                <w:color w:val="auto"/>
                <w:w w:val="93"/>
              </w:rPr>
              <w:t>14</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rPr>
              <w:t>12,063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9,753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right="296"/>
              <w:spacing w:after="0"/>
              <w:rPr>
                <w:sz w:val="20"/>
                <w:szCs w:val="20"/>
                <w:color w:val="auto"/>
              </w:rPr>
            </w:pPr>
            <w:r>
              <w:rPr>
                <w:rFonts w:ascii="Times New Roman" w:cs="Times New Roman" w:eastAsia="Times New Roman" w:hAnsi="Times New Roman"/>
                <w:sz w:val="17"/>
                <w:szCs w:val="17"/>
                <w:color w:val="auto"/>
                <w:w w:val="93"/>
              </w:rPr>
              <w:t>24</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(95,382)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(91,045)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(4,337)</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rPr>
              <w:t>190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(178)</w:t>
            </w:r>
          </w:p>
        </w:tc>
        <w:tc>
          <w:tcPr>
            <w:tcW w:w="4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right="296"/>
              <w:spacing w:after="0"/>
              <w:rPr>
                <w:sz w:val="20"/>
                <w:szCs w:val="20"/>
                <w:color w:val="auto"/>
              </w:rPr>
            </w:pPr>
            <w:r>
              <w:rPr>
                <w:rFonts w:ascii="Times New Roman" w:cs="Times New Roman" w:eastAsia="Times New Roman" w:hAnsi="Times New Roman"/>
                <w:sz w:val="17"/>
                <w:szCs w:val="17"/>
                <w:color w:val="auto"/>
                <w:w w:val="98"/>
              </w:rPr>
              <w:t>(48)</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(95,572)</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(91,413)</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(4,159)</w:t>
            </w: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ind w:right="296"/>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5"/>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3"/>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 sales and rentals</w:t>
            </w:r>
          </w:p>
        </w:tc>
        <w:tc>
          <w:tcPr>
            <w:tcW w:w="4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90,299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15,833</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336"/>
              <w:spacing w:after="0"/>
              <w:rPr>
                <w:sz w:val="20"/>
                <w:szCs w:val="20"/>
                <w:color w:val="auto"/>
              </w:rPr>
            </w:pPr>
            <w:r>
              <w:rPr>
                <w:rFonts w:ascii="Times New Roman" w:cs="Times New Roman" w:eastAsia="Times New Roman" w:hAnsi="Times New Roman"/>
                <w:sz w:val="17"/>
                <w:szCs w:val="17"/>
                <w:color w:val="auto"/>
                <w:w w:val="93"/>
              </w:rPr>
              <w:t>18</w:t>
            </w:r>
          </w:p>
        </w:tc>
        <w:tc>
          <w:tcPr>
            <w:tcW w:w="0" w:type="dxa"/>
            <w:vAlign w:val="bottom"/>
          </w:tcPr>
          <w:p>
            <w:pPr>
              <w:spacing w:after="0"/>
              <w:rPr>
                <w:sz w:val="1"/>
                <w:szCs w:val="1"/>
                <w:color w:val="auto"/>
              </w:rPr>
            </w:pPr>
          </w:p>
        </w:tc>
      </w:tr>
      <w:tr>
        <w:trPr>
          <w:trHeight w:val="21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Hand-pieces and other consumables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121,456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59,990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center"/>
              <w:ind w:right="336"/>
              <w:spacing w:after="0"/>
              <w:rPr>
                <w:sz w:val="20"/>
                <w:szCs w:val="20"/>
                <w:color w:val="auto"/>
              </w:rPr>
            </w:pPr>
            <w:r>
              <w:rPr>
                <w:rFonts w:ascii="Times New Roman" w:cs="Times New Roman" w:eastAsia="Times New Roman" w:hAnsi="Times New Roman"/>
                <w:sz w:val="17"/>
                <w:szCs w:val="17"/>
                <w:color w:val="auto"/>
                <w:w w:val="93"/>
              </w:rPr>
              <w:t>49</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12,743</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7,733</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336"/>
              <w:spacing w:after="0"/>
              <w:rPr>
                <w:sz w:val="20"/>
                <w:szCs w:val="20"/>
                <w:color w:val="auto"/>
              </w:rPr>
            </w:pPr>
            <w:r>
              <w:rPr>
                <w:rFonts w:ascii="Times New Roman" w:cs="Times New Roman" w:eastAsia="Times New Roman" w:hAnsi="Times New Roman"/>
                <w:sz w:val="17"/>
                <w:szCs w:val="17"/>
                <w:color w:val="auto"/>
                <w:w w:val="93"/>
              </w:rPr>
              <w:t>61</w:t>
            </w: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308,054</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224,498</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83,556</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336"/>
              <w:spacing w:after="0"/>
              <w:rPr>
                <w:sz w:val="20"/>
                <w:szCs w:val="20"/>
                <w:color w:val="auto"/>
              </w:rPr>
            </w:pPr>
            <w:r>
              <w:rPr>
                <w:rFonts w:ascii="Times New Roman" w:cs="Times New Roman" w:eastAsia="Times New Roman" w:hAnsi="Times New Roman"/>
                <w:sz w:val="17"/>
                <w:szCs w:val="17"/>
                <w:color w:val="auto"/>
                <w:w w:val="93"/>
              </w:rPr>
              <w:t>37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340" w:firstLine="309"/>
        <w:spacing w:after="0" w:line="287" w:lineRule="auto"/>
        <w:rPr>
          <w:sz w:val="20"/>
          <w:szCs w:val="20"/>
          <w:color w:val="auto"/>
        </w:rPr>
      </w:pPr>
      <w:r>
        <w:rPr>
          <w:rFonts w:ascii="Times New Roman" w:cs="Times New Roman" w:eastAsia="Times New Roman" w:hAnsi="Times New Roman"/>
          <w:sz w:val="17"/>
          <w:szCs w:val="17"/>
          <w:color w:val="auto"/>
        </w:rPr>
        <w:t>Revenue increased $83.6 million, or 37%, to $308.1 million during the year ended December 31, 2025, compared to $224.5 million during the year ended December 31, 2024. The growth in revenue was primarily attributable to an increase</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$15.8 million and $60.0 million in revenues from higher sales volumes of both our robotic systems and our single-use disposable handpieces, respectively.</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Cost of Sales and Gross Margin</w:t>
      </w:r>
    </w:p>
    <w:p>
      <w:pPr>
        <w:spacing w:after="0" w:line="169" w:lineRule="exact"/>
        <w:rPr>
          <w:sz w:val="20"/>
          <w:szCs w:val="20"/>
          <w:color w:val="auto"/>
        </w:rPr>
      </w:pPr>
    </w:p>
    <w:p>
      <w:pPr>
        <w:ind w:right="160" w:firstLine="309"/>
        <w:spacing w:after="0" w:line="287" w:lineRule="auto"/>
        <w:rPr>
          <w:sz w:val="20"/>
          <w:szCs w:val="20"/>
          <w:color w:val="auto"/>
        </w:rPr>
      </w:pPr>
      <w:r>
        <w:rPr>
          <w:rFonts w:ascii="Times New Roman" w:cs="Times New Roman" w:eastAsia="Times New Roman" w:hAnsi="Times New Roman"/>
          <w:sz w:val="17"/>
          <w:szCs w:val="17"/>
          <w:color w:val="auto"/>
        </w:rPr>
        <w:t>Cost of sales increased $24.4 million, or 28%, to $111.8 million during the year ended December 31, 2025, compared to $87.4 million during the year ended December 31, 2024. The increase in cost of sales was primarily attributable to the growth in the number of units sold and increase in warranty costs.</w:t>
      </w:r>
    </w:p>
    <w:p>
      <w:pPr>
        <w:spacing w:after="0" w:line="100" w:lineRule="exact"/>
        <w:rPr>
          <w:sz w:val="20"/>
          <w:szCs w:val="20"/>
          <w:color w:val="auto"/>
        </w:rPr>
      </w:pPr>
    </w:p>
    <w:p>
      <w:pPr>
        <w:ind w:right="320" w:firstLine="309"/>
        <w:spacing w:after="0" w:line="270" w:lineRule="auto"/>
        <w:rPr>
          <w:sz w:val="20"/>
          <w:szCs w:val="20"/>
          <w:color w:val="auto"/>
        </w:rPr>
      </w:pPr>
      <w:r>
        <w:rPr>
          <w:rFonts w:ascii="Times New Roman" w:cs="Times New Roman" w:eastAsia="Times New Roman" w:hAnsi="Times New Roman"/>
          <w:sz w:val="17"/>
          <w:szCs w:val="17"/>
          <w:color w:val="auto"/>
        </w:rPr>
        <w:t>Gross margin increased to 64% during the year ended December 31, 2025, compared to 61% for the year ended December 31, 2024. The increase in gross margin was primarily attributable to the growth in unit sales, which allowed us to spread the fixed portion of our manufacturing overhead costs over more production units, partially offset by an increase in warranty costs.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69" w:lineRule="exact"/>
        <w:rPr>
          <w:sz w:val="20"/>
          <w:szCs w:val="20"/>
          <w:color w:val="auto"/>
        </w:rPr>
      </w:pPr>
    </w:p>
    <w:p>
      <w:pPr>
        <w:ind w:right="160" w:firstLine="309"/>
        <w:spacing w:after="0" w:line="270" w:lineRule="auto"/>
        <w:rPr>
          <w:sz w:val="20"/>
          <w:szCs w:val="20"/>
          <w:color w:val="auto"/>
        </w:rPr>
      </w:pPr>
      <w:r>
        <w:rPr>
          <w:rFonts w:ascii="Times New Roman" w:cs="Times New Roman" w:eastAsia="Times New Roman" w:hAnsi="Times New Roman"/>
          <w:sz w:val="17"/>
          <w:szCs w:val="17"/>
          <w:color w:val="auto"/>
        </w:rPr>
        <w:t>R&amp;D expenses increased $9.0 million, or 14%, to $71.3 million during the year ended December 31, 2025, compared to $62.3 million during the year ended December 31, 2024. The increase in R&amp;D expenses was primarily due to employee-related expenses of our R&amp;D organization such as salaries and wages and stock-based compensation. These expenses support ongoing product improvements and the development of additional and next generation technologies.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69" w:lineRule="exact"/>
        <w:rPr>
          <w:sz w:val="20"/>
          <w:szCs w:val="20"/>
          <w:color w:val="auto"/>
        </w:rPr>
      </w:pPr>
    </w:p>
    <w:p>
      <w:pPr>
        <w:ind w:right="260" w:firstLine="309"/>
        <w:spacing w:after="0" w:line="270" w:lineRule="auto"/>
        <w:rPr>
          <w:sz w:val="20"/>
          <w:szCs w:val="20"/>
          <w:color w:val="auto"/>
        </w:rPr>
      </w:pPr>
      <w:r>
        <w:rPr>
          <w:rFonts w:ascii="Times New Roman" w:cs="Times New Roman" w:eastAsia="Times New Roman" w:hAnsi="Times New Roman"/>
          <w:sz w:val="17"/>
          <w:szCs w:val="17"/>
          <w:color w:val="auto"/>
        </w:rPr>
        <w:t>SG&amp;A expenses increased $57.4 million, or 33%, to $228.8 million during the year ended December 31, 2025, compared to $171.4 million during the year ended December 31, 2024. The increase in SG&amp;A expenses was primarily due to employee-related expenses of our sales and marketing organization and administrative organizations as we expanded our infrastructure to drive and support our growth in revenue.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69" w:lineRule="exact"/>
        <w:rPr>
          <w:sz w:val="20"/>
          <w:szCs w:val="20"/>
          <w:color w:val="auto"/>
        </w:rPr>
      </w:pPr>
    </w:p>
    <w:p>
      <w:pPr>
        <w:ind w:right="680" w:firstLine="309"/>
        <w:spacing w:after="0" w:line="287" w:lineRule="auto"/>
        <w:rPr>
          <w:sz w:val="20"/>
          <w:szCs w:val="20"/>
          <w:color w:val="auto"/>
        </w:rPr>
      </w:pPr>
      <w:r>
        <w:rPr>
          <w:rFonts w:ascii="Times New Roman" w:cs="Times New Roman" w:eastAsia="Times New Roman" w:hAnsi="Times New Roman"/>
          <w:sz w:val="17"/>
          <w:szCs w:val="17"/>
          <w:color w:val="auto"/>
        </w:rPr>
        <w:t>Interest expense of $3.6 million during the year ended December 31, 2025 decreased $0.6 million or 14% compared to fiscal 2024. The decrease was primarily due to decreases in interest rates during the year.</w:t>
      </w:r>
    </w:p>
    <w:p>
      <w:pPr>
        <w:spacing w:after="0" w:line="100" w:lineRule="exact"/>
        <w:rPr>
          <w:sz w:val="20"/>
          <w:szCs w:val="20"/>
          <w:color w:val="auto"/>
        </w:rPr>
      </w:pPr>
    </w:p>
    <w:p>
      <w:pPr>
        <w:ind w:right="40" w:firstLine="309"/>
        <w:spacing w:after="0" w:line="270" w:lineRule="auto"/>
        <w:rPr>
          <w:sz w:val="20"/>
          <w:szCs w:val="20"/>
          <w:color w:val="auto"/>
        </w:rPr>
      </w:pPr>
      <w:r>
        <w:rPr>
          <w:rFonts w:ascii="Times New Roman" w:cs="Times New Roman" w:eastAsia="Times New Roman" w:hAnsi="Times New Roman"/>
          <w:sz w:val="17"/>
          <w:szCs w:val="17"/>
          <w:color w:val="auto"/>
        </w:rPr>
        <w:t>Interest and other income, net, increased $2.3 million to $12.1 million during the year ended December 31, 2025 compared to $9.8 million during the year ended December 31, 2024. The increase in interest and other income, net was primarily due to an increase in average cash balances during the year, partially offset by decreases in interest rates.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Provision for income taxes was immaterial for all periods presented.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71"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As of December 31, 2025, we had cash and cash equivalents of $286.5 million, an accumulated deficit of $641.6 million, and $52.0 million outstanding on our loan facility. We expect our expenses will increase for the foreseeable future, as we continue to make substantial investments in sales and marketing, operations and research and development. Our future funding requirements will depend on many factors, including:</w:t>
      </w:r>
    </w:p>
    <w:p>
      <w:pPr>
        <w:spacing w:after="0" w:line="114" w:lineRule="exact"/>
        <w:rPr>
          <w:sz w:val="20"/>
          <w:szCs w:val="20"/>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and rate of market acceptance of our products and Aquablation therapy;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and timing of investment in our sales force and expansion of our commercial organization;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rate of progress and cost of our current or future clinical trials and registries;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our research and development activities;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additional regulatory clearances or approvals;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any product recall that may occur;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a regulatory or government action or other litigation;</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the manufacturing of our products at increased production levels;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attaining, defending and enforcing our intellectual property rights;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acquire third-party companies, products or technologies;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other collaborative, licensing and other arrangements that we may establish;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of competing technologies or other adverse market developments;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at which we expand internationally.</w:t>
      </w:r>
    </w:p>
    <w:p>
      <w:pPr>
        <w:spacing w:after="0" w:line="165"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Based on our operating plan, we currently believe that our existing cash and cash equivalents and anticipated revenue will be sufficient to meet our capital requirements and fund our operations through at least the next twelve months from the issuance date of the financial statements. We have based this estimate on assumptions that may prove to be wrong, and we may need to utilize additional available capital resources. If these sources are insufficient to satisfy our liquidity requirements, we may seek to sell additional public equity or debt securities or obtain an additional credit facility. The sale of equity and convertible debt securities may result in dilution to our stockholders and, in the case of preferred equity securities or convertible debt, those securities could provide for rights, preferences or privileges senior to those of our common stock.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 If we are unable to obtain additional financing, we may be required to delay the development, commercialization and marketing of our 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71"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In October 2022, we entered into a loan and security agreement with Canadian Imperial Bank of Commerce. The agreement provides for a senior secured term loan facility in the aggregate principal amount of $52.0 million (the “Term Loan Facility”), which was borrowed in full.</w:t>
      </w:r>
    </w:p>
    <w:p>
      <w:pPr>
        <w:spacing w:after="0" w:line="100" w:lineRule="exact"/>
        <w:rPr>
          <w:sz w:val="20"/>
          <w:szCs w:val="20"/>
          <w:color w:val="auto"/>
        </w:rPr>
      </w:pPr>
    </w:p>
    <w:p>
      <w:pPr>
        <w:ind w:right="480" w:firstLine="309"/>
        <w:spacing w:after="0" w:line="287" w:lineRule="auto"/>
        <w:rPr>
          <w:sz w:val="20"/>
          <w:szCs w:val="20"/>
          <w:color w:val="auto"/>
        </w:rPr>
      </w:pPr>
      <w:r>
        <w:rPr>
          <w:rFonts w:ascii="Times New Roman" w:cs="Times New Roman" w:eastAsia="Times New Roman" w:hAnsi="Times New Roman"/>
          <w:sz w:val="17"/>
          <w:szCs w:val="17"/>
          <w:color w:val="auto"/>
        </w:rPr>
        <w:t>The Term Loan Facility is scheduled to mature on October 6, 2027, the fifth anniversary of the closing date, or the Maturity Date. We have the option to prepay the Term Loan Facility without any prepayment charge or fee.</w:t>
      </w:r>
    </w:p>
    <w:p>
      <w:pPr>
        <w:spacing w:after="0" w:line="100" w:lineRule="exact"/>
        <w:rPr>
          <w:sz w:val="20"/>
          <w:szCs w:val="20"/>
          <w:color w:val="auto"/>
        </w:rPr>
      </w:pPr>
    </w:p>
    <w:p>
      <w:pPr>
        <w:ind w:right="160" w:firstLine="309"/>
        <w:spacing w:after="0" w:line="270" w:lineRule="auto"/>
        <w:rPr>
          <w:sz w:val="20"/>
          <w:szCs w:val="20"/>
          <w:color w:val="auto"/>
        </w:rPr>
      </w:pPr>
      <w:r>
        <w:rPr>
          <w:rFonts w:ascii="Times New Roman" w:cs="Times New Roman" w:eastAsia="Times New Roman" w:hAnsi="Times New Roman"/>
          <w:sz w:val="17"/>
          <w:szCs w:val="17"/>
          <w:color w:val="auto"/>
        </w:rPr>
        <w:t>The loan borrowed under the Term Loan Facility bears interest at an annual rate equal to the secured overnight financing rate ("SOFR") (calculated based on an adjustment of 0.10%, 0.15% and 0.25%, respectively, for one-month, three-month or six-month term SOFR as of a specified date, subject to a floor of 1.5%) plus an applicable margin of 2.25%.</w:t>
      </w:r>
    </w:p>
    <w:p>
      <w:pPr>
        <w:spacing w:after="0" w:line="114" w:lineRule="exact"/>
        <w:rPr>
          <w:sz w:val="20"/>
          <w:szCs w:val="20"/>
          <w:color w:val="auto"/>
        </w:rPr>
      </w:pPr>
    </w:p>
    <w:p>
      <w:pPr>
        <w:ind w:right="220" w:firstLine="309"/>
        <w:spacing w:after="0" w:line="287" w:lineRule="auto"/>
        <w:rPr>
          <w:sz w:val="20"/>
          <w:szCs w:val="20"/>
          <w:color w:val="auto"/>
        </w:rPr>
      </w:pPr>
      <w:r>
        <w:rPr>
          <w:rFonts w:ascii="Times New Roman" w:cs="Times New Roman" w:eastAsia="Times New Roman" w:hAnsi="Times New Roman"/>
          <w:sz w:val="17"/>
          <w:szCs w:val="17"/>
          <w:color w:val="auto"/>
        </w:rPr>
        <w:t>The obligations under the loan and security agreement are secured by substantially all of our assets, including its intellectual property and by a pledge all of our equity interests in its U.S. subsidiaries and 65% of our equity interests in its non-U.S. subsidiaries that are directly owned by us.</w:t>
      </w:r>
    </w:p>
    <w:p>
      <w:pPr>
        <w:spacing w:after="0" w:line="100"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In August 2025, we entered into a second amendment to the loan and security agreement (the “Second Amendment”), which, among other things, modified the repayment terms such that the entire principal amount outstanding is now due on the Maturity Date, replacing the prior repayment schedule of interest-only payments followed by monthly principal amortization payments. After giving effect to the Second Amendment, we are obligated to maintain in collateral accounts held at the lender (a) if our cash and cash equivalents is less than $50.0 million, 100% of our cash and cash equivalents; or (b) if our cash and cash equivalents is greater than or equal to $50.0 million, the greater of (i) $50.0 million or (ii) 50% of our cash and cash equivalents, with amounts exceeding $50.0 million permitted to be held outside of the lender in collateral accounts managed by the lender.</w:t>
      </w:r>
    </w:p>
    <w:p>
      <w:pPr>
        <w:spacing w:after="0" w:line="122"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The loan and security agreement contains certain customary representations and warranties, affirmative and negative covenants, and events of default. Under the loan and security agreement, if we maintain less than $100.0 million in available cash, then we are required to meet either one of two financial covenants: a minimum unrestricted cash covenant or a minimum revenue and growth covenant. The minimum unrestricted cash covenant requires that we maintain cash reserve not less than the greater of (i) $20.0 million, (ii) the absolute value of EBITDA losses (if any) for the most recent consecutive four-month period then ended or (iii) the aggregate outstanding principal amount of $52.0 million. The minimum revenue and growth covenant requires our revenue, for the consecutive twelve-month period as of each measurement date, of not less than $50.0 million and of at least 115% as of the last day of the consecutive twelve-month period of the immediately preceding year. If we maintain at least $100.0 million in available cash, then we are not required to meet such financial covenants.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years ended December 31, 2025, 2024, and 2023:</w:t>
      </w:r>
    </w:p>
    <w:p>
      <w:pPr>
        <w:spacing w:after="0" w:line="195"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0"/>
        </w:trPr>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(99,213)</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(108,003)</w:t>
            </w:r>
          </w:p>
        </w:tc>
      </w:tr>
      <w:tr>
        <w:trPr>
          <w:trHeight w:val="219"/>
        </w:trPr>
        <w:tc>
          <w:tcPr>
            <w:tcW w:w="6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(25,206)</w:t>
            </w:r>
          </w:p>
        </w:tc>
      </w:tr>
      <w:tr>
        <w:trPr>
          <w:trHeight w:val="219"/>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167,795</w:t>
            </w:r>
          </w:p>
        </w:tc>
      </w:tr>
      <w:tr>
        <w:trPr>
          <w:trHeight w:val="219"/>
        </w:trPr>
        <w:tc>
          <w:tcPr>
            <w:tcW w:w="6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Effect of exchange rates on cash, cash equivalents and restricted cash</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(47,222)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76,503</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34,586</w:t>
            </w: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Operating Activities</w:t>
      </w:r>
    </w:p>
    <w:p>
      <w:pPr>
        <w:spacing w:after="0" w:line="171" w:lineRule="exact"/>
        <w:rPr>
          <w:sz w:val="20"/>
          <w:szCs w:val="20"/>
          <w:color w:val="auto"/>
        </w:rPr>
      </w:pPr>
    </w:p>
    <w:p>
      <w:pPr>
        <w:ind w:right="100" w:firstLine="309"/>
        <w:spacing w:after="0" w:line="260" w:lineRule="auto"/>
        <w:rPr>
          <w:sz w:val="20"/>
          <w:szCs w:val="20"/>
          <w:color w:val="auto"/>
        </w:rPr>
      </w:pPr>
      <w:r>
        <w:rPr>
          <w:rFonts w:ascii="Times New Roman" w:cs="Times New Roman" w:eastAsia="Times New Roman" w:hAnsi="Times New Roman"/>
          <w:sz w:val="17"/>
          <w:szCs w:val="17"/>
          <w:color w:val="auto"/>
        </w:rPr>
        <w:t>During the year ended December 31, 2025, net cash used in operating activities was $49.0 million, consisting primarily of a net loss of $95.6 million and an increase in net operating assets of $7.8 million, partially offset by non-cash charges of $54.4 million. The cash used in operations was primarily attributable to our net loss due to the increase in operating expenses to support our commercialization and development activities. The expansion of our commercialization activities resulted in increases in inventory, accounts receivable, prepaid expenses and other current assets along with long-term assets, accounts payable, accrued compensation, deferred revenue, other accrued liabilities, and accrued interest expense. Non-cash charges consisted primarily of stock-based compensation, bad debt reserves, accruals for excess and obsolete inventory and depreciation.</w:t>
      </w:r>
    </w:p>
    <w:p>
      <w:pPr>
        <w:spacing w:after="0" w:line="122"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During the year ended December 31, 2024, net cash used in operating activities was $99.2 million, consisting primarily of a net loss of $91.4 million and an increase in net operating assets of $47.3 million, partially offset by non-cash charges of $39.5 million. The cash used in operations was primarily due to our net loss due to the increase in operating expenses to support our commercialization and development activities. The expansion of our commercialization resulted in an increase in inventory, accounts receivable, and long-term assets, a decrease in other accrued liabilities, partially offset by a decrease in prepaid expenses and other current assets, and increases in accounts payable, deferred revenue, lease liabilities, accrued compensation and accrued interest expense. Non-cash charges consisted primarily of stock-based compensation, and depreciation.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Investing Activities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year ended December 31, 2025, net cash used in investing activities was $9.4 million, consisting of purchases of property and equipment.</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year ended December 31, 2024, net cash used in investing activities was $4.4 million, consisting of purchases of property and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Financing Activities</w:t>
      </w:r>
    </w:p>
    <w:p>
      <w:pPr>
        <w:spacing w:after="0" w:line="171"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2025, net cash provided by financing activities was $11.2 million, consisting primarily of proceeds of $4.8 million from the exercise of stock options and proceeds of $6.4 million from the issuance of common stock under the employee stock purchase plan.</w:t>
      </w:r>
    </w:p>
    <w:p>
      <w:pPr>
        <w:spacing w:after="0" w:line="100"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2024, net cash provided by financing activities was $180.1 million, consisting primarily of proceeds from the issuance of common stock of $164.5 million, net of issuance costs, and proceeds of $11.1 million from the exercise of stock options.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Commitments and Contingencies</w:t>
      </w:r>
    </w:p>
    <w:p>
      <w:pPr>
        <w:spacing w:after="0" w:line="169" w:lineRule="exact"/>
        <w:rPr>
          <w:sz w:val="20"/>
          <w:szCs w:val="20"/>
          <w:color w:val="auto"/>
        </w:rPr>
      </w:pPr>
    </w:p>
    <w:p>
      <w:pPr>
        <w:ind w:right="200" w:firstLine="309"/>
        <w:spacing w:after="0" w:line="287" w:lineRule="auto"/>
        <w:rPr>
          <w:sz w:val="20"/>
          <w:szCs w:val="20"/>
          <w:color w:val="auto"/>
        </w:rPr>
      </w:pPr>
      <w:r>
        <w:rPr>
          <w:rFonts w:ascii="Times New Roman" w:cs="Times New Roman" w:eastAsia="Times New Roman" w:hAnsi="Times New Roman"/>
          <w:sz w:val="17"/>
          <w:szCs w:val="17"/>
          <w:color w:val="auto"/>
        </w:rPr>
        <w:t>The information included in Note 12 to the consolidated financial statements included in Part II, Item 8 of this Annual Report on Form 10-K is incorporated herein by reference.</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69" w:lineRule="exact"/>
        <w:rPr>
          <w:sz w:val="20"/>
          <w:szCs w:val="20"/>
          <w:color w:val="auto"/>
        </w:rPr>
      </w:pPr>
    </w:p>
    <w:p>
      <w:pPr>
        <w:ind w:right="220" w:firstLine="309"/>
        <w:spacing w:after="0" w:line="287"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arrangements, such as structured finance, special purpose entities or variable interest entities.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69" w:lineRule="exact"/>
        <w:rPr>
          <w:sz w:val="20"/>
          <w:szCs w:val="20"/>
          <w:color w:val="auto"/>
        </w:rPr>
      </w:pPr>
    </w:p>
    <w:p>
      <w:pPr>
        <w:jc w:val="both"/>
        <w:ind w:right="60" w:firstLine="309"/>
        <w:spacing w:after="0" w:line="260" w:lineRule="auto"/>
        <w:rPr>
          <w:sz w:val="20"/>
          <w:szCs w:val="20"/>
          <w:color w:val="auto"/>
        </w:rPr>
      </w:pPr>
      <w:r>
        <w:rPr>
          <w:rFonts w:ascii="Times New Roman" w:cs="Times New Roman" w:eastAsia="Times New Roman" w:hAnsi="Times New Roman"/>
          <w:sz w:val="17"/>
          <w:szCs w:val="17"/>
          <w:color w:val="auto"/>
        </w:rPr>
        <w:t>Management’s discussion and analysis of our financial condition and results of operations is based on our financial statements, which have been prepared in accordance with U.S. generally accepted accounting principles. The preparation of the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22"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While our significant accounting policies are more fully described in Note 2 of our consolidated financial statements included elsewhere in this Annual Report on Form 10-K,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1"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Revenue is derived primarily from the sales of the AquaBeam Robotic Systems and HYDROS Robotic Systems, along with handpieces that are for one-time use during each surgery using our robotic systems. Included in the term “sales”, we include sales-type leases accounted for in accordance with ASC 842. Each of our robotic systems contains both software and non-software components that are delivered together as a single product and generally contain a one-year warranty.</w:t>
      </w:r>
    </w:p>
    <w:p>
      <w:pPr>
        <w:spacing w:after="0" w:line="114" w:lineRule="exact"/>
        <w:rPr>
          <w:sz w:val="20"/>
          <w:szCs w:val="20"/>
          <w:color w:val="auto"/>
        </w:rPr>
      </w:pPr>
    </w:p>
    <w:p>
      <w:pPr>
        <w:ind w:right="140" w:firstLine="309"/>
        <w:spacing w:after="0" w:line="260" w:lineRule="auto"/>
        <w:rPr>
          <w:sz w:val="20"/>
          <w:szCs w:val="20"/>
          <w:color w:val="auto"/>
        </w:rPr>
      </w:pPr>
      <w:r>
        <w:rPr>
          <w:rFonts w:ascii="Times New Roman" w:cs="Times New Roman" w:eastAsia="Times New Roman" w:hAnsi="Times New Roman"/>
          <w:sz w:val="17"/>
          <w:szCs w:val="17"/>
          <w:color w:val="auto"/>
        </w:rPr>
        <w:t>To determine revenue recognition for arrangements that we determine are within the scope of Accounting Standards Codification, or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or ASC 606, we perform the following five steps: (i) identify the contract with a customer; (ii) identify the performance obligations in the contract; (iii) determine the transaction price; (iv) allocate the transaction price to the performance obligations in the contract; and</w:t>
      </w:r>
    </w:p>
    <w:p>
      <w:pPr>
        <w:jc w:val="both"/>
        <w:ind w:right="140" w:firstLine="3"/>
        <w:spacing w:after="0" w:line="257" w:lineRule="auto"/>
        <w:tabs>
          <w:tab w:leader="none" w:pos="24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we satisfy the performance obligations.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based on the contract.</w:t>
      </w:r>
    </w:p>
    <w:p>
      <w:pPr>
        <w:spacing w:after="0" w:line="126" w:lineRule="exact"/>
        <w:rPr>
          <w:sz w:val="20"/>
          <w:szCs w:val="20"/>
          <w:color w:val="auto"/>
        </w:rPr>
      </w:pPr>
    </w:p>
    <w:p>
      <w:pPr>
        <w:ind w:right="160" w:firstLine="309"/>
        <w:spacing w:after="0" w:line="287" w:lineRule="auto"/>
        <w:rPr>
          <w:sz w:val="20"/>
          <w:szCs w:val="20"/>
          <w:color w:val="auto"/>
        </w:rPr>
      </w:pPr>
      <w:r>
        <w:rPr>
          <w:rFonts w:ascii="Times New Roman" w:cs="Times New Roman" w:eastAsia="Times New Roman" w:hAnsi="Times New Roman"/>
          <w:sz w:val="17"/>
          <w:szCs w:val="17"/>
          <w:color w:val="auto"/>
        </w:rPr>
        <w:t>The contracts are typically in the form of an agreement and an ordering document from our customer. Sales generally contain multiple products and services and can include a combination of the following performance obligations: robotic system, handpieces and consumables, and service.</w:t>
      </w:r>
    </w:p>
    <w:p>
      <w:pPr>
        <w:spacing w:after="0" w:line="100" w:lineRule="exact"/>
        <w:rPr>
          <w:sz w:val="20"/>
          <w:szCs w:val="20"/>
          <w:color w:val="auto"/>
        </w:rPr>
      </w:pPr>
    </w:p>
    <w:p>
      <w:pPr>
        <w:jc w:val="both"/>
        <w:ind w:right="500" w:firstLine="309"/>
        <w:spacing w:after="0" w:line="270" w:lineRule="auto"/>
        <w:rPr>
          <w:sz w:val="20"/>
          <w:szCs w:val="20"/>
          <w:color w:val="auto"/>
        </w:rPr>
      </w:pPr>
      <w:r>
        <w:rPr>
          <w:rFonts w:ascii="Times New Roman" w:cs="Times New Roman" w:eastAsia="Times New Roman" w:hAnsi="Times New Roman"/>
          <w:sz w:val="17"/>
          <w:szCs w:val="17"/>
          <w:color w:val="auto"/>
        </w:rPr>
        <w:t>We determine the transaction price we expect to be entitled to in exchange for transferring the promised product to our customer, which is based on the invoiced price for the products. All prices are at fixed amounts per the contract with the customer. We have granted rebates on a limited basis and have been historically immaterial. Rebates are recorded as a reduction to revenue at time of sale.</w:t>
      </w:r>
    </w:p>
    <w:p>
      <w:pPr>
        <w:spacing w:after="0" w:line="114"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considering market conditions and entity-specific factors including, but not limited to, features and functionality of the products and services, geographies, and type of customer. We regularly review standalone selling prices and update these estimates as necessary.</w:t>
      </w:r>
    </w:p>
    <w:p>
      <w:pPr>
        <w:spacing w:after="0" w:line="120" w:lineRule="exact"/>
        <w:rPr>
          <w:sz w:val="20"/>
          <w:szCs w:val="20"/>
          <w:color w:val="auto"/>
        </w:rPr>
      </w:pPr>
    </w:p>
    <w:p>
      <w:pPr>
        <w:ind w:right="240" w:firstLine="309"/>
        <w:spacing w:after="0" w:line="287" w:lineRule="auto"/>
        <w:rPr>
          <w:sz w:val="20"/>
          <w:szCs w:val="20"/>
          <w:color w:val="auto"/>
        </w:rPr>
      </w:pPr>
      <w:r>
        <w:rPr>
          <w:rFonts w:ascii="Times New Roman" w:cs="Times New Roman" w:eastAsia="Times New Roman" w:hAnsi="Times New Roman"/>
          <w:sz w:val="17"/>
          <w:szCs w:val="17"/>
          <w:color w:val="auto"/>
        </w:rPr>
        <w:t>We recognize revenue as the performance obligations are satisfied by transferring control of the product or service to our customer. We generally recognize revenue for the performance obligations at the following points in time: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AquaBeam Robotic Systems and HYDROS Robotic Systems</w:t>
      </w:r>
    </w:p>
    <w:p>
      <w:pPr>
        <w:spacing w:after="0" w:line="165" w:lineRule="exact"/>
        <w:rPr>
          <w:sz w:val="20"/>
          <w:szCs w:val="20"/>
          <w:color w:val="auto"/>
        </w:rPr>
      </w:pPr>
    </w:p>
    <w:p>
      <w:pPr>
        <w:jc w:val="center"/>
        <w:ind w:right="14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End user sales - </w:t>
      </w:r>
      <w:r>
        <w:rPr>
          <w:rFonts w:ascii="Times New Roman" w:cs="Times New Roman" w:eastAsia="Times New Roman" w:hAnsi="Times New Roman"/>
          <w:sz w:val="17"/>
          <w:szCs w:val="17"/>
          <w:color w:val="auto"/>
        </w:rPr>
        <w:t>For systems (including system components and system accessories) sold directly to end user customers, revenue is recognized when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 control to our customer, in accordance with agreed upon shipping terms. We have determined in these type of arrangements the end user is our customer.</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74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Intermediary sales - </w:t>
      </w:r>
      <w:r>
        <w:rPr>
          <w:rFonts w:ascii="Times New Roman" w:cs="Times New Roman" w:eastAsia="Times New Roman" w:hAnsi="Times New Roman"/>
          <w:sz w:val="17"/>
          <w:szCs w:val="17"/>
          <w:color w:val="auto"/>
        </w:rPr>
        <w:t>For systems sold to distributors or to leasing companies, revenue is recognized when we transfer control to our intermediary,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accordance with agreed upon shipping terms. We have determined in these type of arrangements the intermediary is our customer.</w:t>
      </w:r>
    </w:p>
    <w:p>
      <w:pPr>
        <w:spacing w:after="0" w:line="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Robotic system arrangements generally do not provide a right of return, however, we have granted a right of return on a case-by-case basis. We estimate</w:t>
      </w:r>
    </w:p>
    <w:p>
      <w:pPr>
        <w:spacing w:after="0" w:line="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returns at contract inception based on historical return amounts. Return estimates are recorded as a reduction to revenue. Historical returns have been immaterial.</w:t>
      </w:r>
    </w:p>
    <w:p>
      <w:pPr>
        <w:spacing w:after="0" w:line="165" w:lineRule="exact"/>
        <w:rPr>
          <w:sz w:val="20"/>
          <w:szCs w:val="20"/>
          <w:color w:val="auto"/>
        </w:rPr>
      </w:pPr>
    </w:p>
    <w:p>
      <w:pPr>
        <w:ind w:right="100" w:firstLine="309"/>
        <w:spacing w:after="0" w:line="276" w:lineRule="auto"/>
        <w:rPr>
          <w:sz w:val="20"/>
          <w:szCs w:val="20"/>
          <w:color w:val="auto"/>
        </w:rPr>
      </w:pPr>
      <w:r>
        <w:rPr>
          <w:rFonts w:ascii="Times New Roman" w:cs="Times New Roman" w:eastAsia="Times New Roman" w:hAnsi="Times New Roman"/>
          <w:sz w:val="17"/>
          <w:szCs w:val="17"/>
          <w:color w:val="auto"/>
        </w:rPr>
        <w:t>Additionally, given the release of the HYDROS Robotic System, on a case-by-case basis, we have granted our customers a contractual right to exchange a previously purchased AquaBeam Robotic System for a HYDROS Robotic System where consideration exchanged for the AquaBeam Robotic System is recorded</w:t>
      </w:r>
    </w:p>
    <w:p>
      <w:pPr>
        <w:spacing w:after="0" w:line="2"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7"/>
          <w:szCs w:val="17"/>
          <w:color w:val="auto"/>
        </w:rPr>
        <w:t>at fair value. The consideration is recognized when the exchange is considered probable. We estimate exchanges at contract inception, based on historical exchange amounts. The fair value of consideration for the AquaBeam Robotic System is recorded as a reduction to revenue. Historical exchanges have been immaterial. The robotic systems are generally covered by a one-year service agreement included in the warranty. The service agreements are typically recognized as deferred revenue and amortized over the one-year service period.</w:t>
      </w:r>
    </w:p>
    <w:p>
      <w:pPr>
        <w:spacing w:after="0" w:line="99" w:lineRule="exact"/>
        <w:rPr>
          <w:sz w:val="20"/>
          <w:szCs w:val="20"/>
          <w:color w:val="auto"/>
        </w:rPr>
      </w:pPr>
    </w:p>
    <w:p>
      <w:pPr>
        <w:ind w:right="6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Hand-pieces and other consumables </w:t>
      </w:r>
      <w:r>
        <w:rPr>
          <w:rFonts w:ascii="Times New Roman" w:cs="Times New Roman" w:eastAsia="Times New Roman" w:hAnsi="Times New Roman"/>
          <w:sz w:val="17"/>
          <w:szCs w:val="17"/>
          <w:color w:val="auto"/>
        </w:rPr>
        <w:t>- Revenue from sales of handpieces and other consumables is recognized when control is transferred to the customers,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accordance with agreed upon shipping terms.</w:t>
      </w:r>
    </w:p>
    <w:p>
      <w:pPr>
        <w:spacing w:after="0" w:line="92" w:lineRule="exact"/>
        <w:rPr>
          <w:sz w:val="20"/>
          <w:szCs w:val="20"/>
          <w:color w:val="auto"/>
        </w:rPr>
      </w:pPr>
    </w:p>
    <w:p>
      <w:pPr>
        <w:ind w:right="6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Service - </w:t>
      </w:r>
      <w:r>
        <w:rPr>
          <w:rFonts w:ascii="Times New Roman" w:cs="Times New Roman" w:eastAsia="Times New Roman" w:hAnsi="Times New Roman"/>
          <w:sz w:val="17"/>
          <w:szCs w:val="17"/>
          <w:color w:val="auto"/>
        </w:rPr>
        <w:t>Service revenue, inclusive of the amounts associated with the robotic system warranties or extended service agreements, is recognized over the 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service period, as the customer benefits from the services throughout the service period.</w:t>
      </w:r>
    </w:p>
    <w:p>
      <w:pPr>
        <w:spacing w:after="0" w:line="96" w:lineRule="exact"/>
        <w:rPr>
          <w:sz w:val="20"/>
          <w:szCs w:val="20"/>
          <w:color w:val="auto"/>
        </w:rPr>
      </w:pPr>
    </w:p>
    <w:p>
      <w:pPr>
        <w:ind w:right="200" w:firstLine="309"/>
        <w:spacing w:after="0" w:line="287" w:lineRule="auto"/>
        <w:rPr>
          <w:sz w:val="20"/>
          <w:szCs w:val="20"/>
          <w:color w:val="auto"/>
        </w:rPr>
      </w:pPr>
      <w:r>
        <w:rPr>
          <w:rFonts w:ascii="Times New Roman" w:cs="Times New Roman" w:eastAsia="Times New Roman" w:hAnsi="Times New Roman"/>
          <w:sz w:val="17"/>
          <w:szCs w:val="17"/>
          <w:color w:val="auto"/>
        </w:rPr>
        <w:t>We have determined that certain promises in the multiple-element arrangements, such as installation, training and certain ancillary products, are immaterial, and do not represent separate performance obligations for which transaction price is allocated.</w:t>
      </w:r>
    </w:p>
    <w:p>
      <w:pPr>
        <w:spacing w:after="0" w:line="100" w:lineRule="exact"/>
        <w:rPr>
          <w:sz w:val="20"/>
          <w:szCs w:val="20"/>
          <w:color w:val="auto"/>
        </w:rPr>
      </w:pPr>
    </w:p>
    <w:p>
      <w:pPr>
        <w:ind w:right="300" w:firstLine="309"/>
        <w:spacing w:after="0" w:line="287" w:lineRule="auto"/>
        <w:rPr>
          <w:sz w:val="20"/>
          <w:szCs w:val="20"/>
          <w:color w:val="auto"/>
        </w:rPr>
      </w:pPr>
      <w:r>
        <w:rPr>
          <w:rFonts w:ascii="Times New Roman" w:cs="Times New Roman" w:eastAsia="Times New Roman" w:hAnsi="Times New Roman"/>
          <w:sz w:val="17"/>
          <w:szCs w:val="17"/>
          <w:color w:val="auto"/>
        </w:rPr>
        <w:t>We must make significant assumptions regarding the future collectability of amounts receivable from customers to determine whether revenue recognition criteria have been met. If collectability is not assured at the time of shipment, we defer revenue until such criteria have been met.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7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account for stock options granted to employees and directors under the fair value recognition provision of ASC 718, Compensation - Stock Compensation. Stock-based compensation expense is recognized over the requisite service period in the statements of operations and comprehensive loss. We use the straight-line method for expense attribution.</w:t>
      </w:r>
    </w:p>
    <w:p>
      <w:pPr>
        <w:spacing w:after="0" w:line="114" w:lineRule="exact"/>
        <w:rPr>
          <w:sz w:val="20"/>
          <w:szCs w:val="20"/>
          <w:color w:val="auto"/>
        </w:rPr>
      </w:pPr>
    </w:p>
    <w:p>
      <w:pPr>
        <w:ind w:right="420" w:firstLine="309"/>
        <w:spacing w:after="0" w:line="287" w:lineRule="auto"/>
        <w:rPr>
          <w:sz w:val="20"/>
          <w:szCs w:val="20"/>
          <w:color w:val="auto"/>
        </w:rPr>
      </w:pPr>
      <w:r>
        <w:rPr>
          <w:rFonts w:ascii="Times New Roman" w:cs="Times New Roman" w:eastAsia="Times New Roman" w:hAnsi="Times New Roman"/>
          <w:sz w:val="17"/>
          <w:szCs w:val="17"/>
          <w:color w:val="auto"/>
        </w:rPr>
        <w:t>The valuation model used for calculating the fair value of awards for stock options is the Black-Scholes option pricing model. The Black-Scholes option pricing model requires us to make assumptions and judgments about the variables used in the calculation, including the following:</w:t>
      </w:r>
    </w:p>
    <w:p>
      <w:pPr>
        <w:spacing w:after="0" w:line="96" w:lineRule="exact"/>
        <w:rPr>
          <w:sz w:val="20"/>
          <w:szCs w:val="20"/>
          <w:color w:val="auto"/>
        </w:rPr>
      </w:pPr>
    </w:p>
    <w:p>
      <w:pPr>
        <w:ind w:right="38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of stock options represents the weighted-average period that the stock options are expected to remain outstanding.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the expected term based on the simplified method, which is the average of the weighted-average vesting period and contractual term of the option.</w:t>
      </w:r>
    </w:p>
    <w:p>
      <w:pPr>
        <w:spacing w:after="0" w:line="92" w:lineRule="exact"/>
        <w:rPr>
          <w:sz w:val="20"/>
          <w:szCs w:val="20"/>
          <w:color w:val="auto"/>
        </w:rPr>
      </w:pPr>
    </w:p>
    <w:p>
      <w:pPr>
        <w:ind w:right="80"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Since there has been limited company-specific historical volatility, our expected stock price volatility assumptions were determined using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blended volatility, by examining the historical volatilities for industry peers and the volatility of the Company’s stock following our initial public offering. In evaluating similar peers, we consider factors such as industry, stage of life cycle and size.</w:t>
      </w:r>
    </w:p>
    <w:p>
      <w:pPr>
        <w:spacing w:after="0" w:line="109" w:lineRule="exact"/>
        <w:rPr>
          <w:sz w:val="20"/>
          <w:szCs w:val="20"/>
          <w:color w:val="auto"/>
        </w:rPr>
      </w:pPr>
    </w:p>
    <w:p>
      <w:pPr>
        <w:ind w:right="30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The risk-free interest rate is based on the U.S. Treasury yield in effect at the time of the grant for zero-coupon U.S. Treasury notes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remaining terms similar to the expected term of the options.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Expected Dividend Rate. </w:t>
      </w:r>
      <w:r>
        <w:rPr>
          <w:rFonts w:ascii="Times New Roman" w:cs="Times New Roman" w:eastAsia="Times New Roman" w:hAnsi="Times New Roman"/>
          <w:sz w:val="17"/>
          <w:szCs w:val="17"/>
          <w:color w:val="auto"/>
        </w:rPr>
        <w:t>We assumed the expected dividend rate to be zero as we have never paid dividends and have no current plans to do so.</w:t>
      </w:r>
    </w:p>
    <w:p>
      <w:pPr>
        <w:spacing w:after="0" w:line="169" w:lineRule="exact"/>
        <w:rPr>
          <w:sz w:val="20"/>
          <w:szCs w:val="20"/>
          <w:color w:val="auto"/>
        </w:rPr>
      </w:pPr>
    </w:p>
    <w:p>
      <w:pPr>
        <w:ind w:right="120" w:firstLine="309"/>
        <w:spacing w:after="0" w:line="270" w:lineRule="auto"/>
        <w:rPr>
          <w:sz w:val="20"/>
          <w:szCs w:val="20"/>
          <w:color w:val="auto"/>
        </w:rPr>
      </w:pPr>
      <w:r>
        <w:rPr>
          <w:rFonts w:ascii="Times New Roman" w:cs="Times New Roman" w:eastAsia="Times New Roman" w:hAnsi="Times New Roman"/>
          <w:sz w:val="17"/>
          <w:szCs w:val="17"/>
          <w:color w:val="auto"/>
        </w:rPr>
        <w:t>See Note 8 to our consolidated financial statements included elsewhere in this Annual Report Form 10-K for information concerning certain of the specific assumption we used in applying the Black-Scholes option pricing model to determine the fair value of our stock options granted in the years ended December 31, 2025 and 2024. If factors change and we employ different assumptions, stock-based compensation expense may differ significantly from what we have recorded</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in the past. If there are any modifications or cancellations of the underlying unvested securities, we may be required to accelerate, increase or cancel any remaining unearned stock-based compensation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discussion of recent accounting pronouncements is included in Note 2 to our financial statements contained in this Annual Report on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71"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Cash and cash equivalents of $286.5 million as of December 31, 2025, consisted of securities carried at quoted market prices with an original maturity of three months or less and therefore, there is minimal risk associated with fluctuating interest rates. We do not currently use or plan to use financial derivatives in our investment portfolio.</w:t>
      </w:r>
    </w:p>
    <w:p>
      <w:pPr>
        <w:spacing w:after="0" w:line="11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In addition, as described above under the subsection titled “Indebtedness,” amounts outstanding under our loan facility bears interest at an annual rate equal to the secured overnight financing rate ("SOFR") (calculated based on an adjustment of .10%, .15% and .25%, respectively, for one-month, three-month or six-month term SOFR as of a specified date, subject to a floor of 1.5%) plus an applicable margin of 2.25%. As a result, we are exposed to risks from changes in interest rates. We do not believe that a hypothetical 100 basis point increase or decrease in interest rates or 30-day SOFR would have had a material impact on our financial statements included elsewhere in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71"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We maintain our cash and cash equivalents with multiple financial institutions in the United States, and our current deposits are in excess of insured limits. We have reviewed the financial statements of these institutions and believe they have sufficient assets and liquidity to conduct their operations in the ordinary course of business with little or no credit risk to us.</w:t>
      </w:r>
    </w:p>
    <w:p>
      <w:pPr>
        <w:spacing w:after="0" w:line="114" w:lineRule="exact"/>
        <w:rPr>
          <w:sz w:val="20"/>
          <w:szCs w:val="20"/>
          <w:color w:val="auto"/>
        </w:rPr>
      </w:pPr>
    </w:p>
    <w:p>
      <w:pPr>
        <w:ind w:right="320" w:firstLine="309"/>
        <w:spacing w:after="0" w:line="270" w:lineRule="auto"/>
        <w:rPr>
          <w:sz w:val="20"/>
          <w:szCs w:val="20"/>
          <w:color w:val="auto"/>
        </w:rPr>
      </w:pPr>
      <w:r>
        <w:rPr>
          <w:rFonts w:ascii="Times New Roman" w:cs="Times New Roman" w:eastAsia="Times New Roman" w:hAnsi="Times New Roman"/>
          <w:sz w:val="17"/>
          <w:szCs w:val="17"/>
          <w:color w:val="auto"/>
        </w:rPr>
        <w:t>Our accounts receivable primarily relate to revenue from the sale or rental of our products. No customers accounted for greater than 10% of accounts receivable at December 31, 2025. We believe that credit risk in our accounts receivable is mitigated by our credit evaluation process, relatively short collection terms and diversity of our customer base.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171"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A portion of our net sales and expenses are denominated in foreign currencies, most notably the British Pound. Future fluctuations in the value of the U.S. Dollar may affect the price competitiveness of our products outside the United States. For direct sales outside the United States, we sell in both U.S. Dollars and local currencies, which could expose us to additional foreign currency risks, including changes in currency exchange rates. Our operating expenses in countries outside the United States, are payable in foreign currencies and therefore expose us to currency risk. We do not believe that a hypothetical 10% increase or decrease in the relative value of the U.S. dollar to other currencies would have had a material impact on our financial statements included elsewhere in this Annual Report on Form 10-K.</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do not currently maintain a program to hedge exposures to non-U.S. dollar currencies.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Effects of Inflation</w:t>
      </w:r>
    </w:p>
    <w:p>
      <w:pPr>
        <w:spacing w:after="0" w:line="171"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and research and development contract costs. We do not believe that inflation had a material effect on our financial statements included elsewhere in this Annual Report on Form 10-K.</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5"/>
        </w:trPr>
        <w:tc>
          <w:tcPr>
            <w:tcW w:w="10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2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947"/>
        </w:trPr>
        <w:tc>
          <w:tcPr>
            <w:tcW w:w="10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 Audited Financial Statements</w:t>
            </w:r>
          </w:p>
        </w:tc>
        <w:tc>
          <w:tcPr>
            <w:tcW w:w="920" w:type="dxa"/>
            <w:vAlign w:val="bottom"/>
          </w:tcPr>
          <w:p>
            <w:pPr>
              <w:spacing w:after="0"/>
              <w:rPr>
                <w:sz w:val="24"/>
                <w:szCs w:val="24"/>
                <w:color w:val="auto"/>
              </w:rPr>
            </w:pPr>
          </w:p>
        </w:tc>
      </w:tr>
      <w:tr>
        <w:trPr>
          <w:trHeight w:val="361"/>
        </w:trPr>
        <w:tc>
          <w:tcPr>
            <w:tcW w:w="1220" w:type="dxa"/>
            <w:vAlign w:val="bottom"/>
          </w:tcPr>
          <w:p>
            <w:pPr>
              <w:spacing w:after="0"/>
              <w:rPr>
                <w:sz w:val="24"/>
                <w:szCs w:val="24"/>
                <w:color w:val="auto"/>
              </w:rPr>
            </w:pPr>
          </w:p>
        </w:tc>
        <w:tc>
          <w:tcPr>
            <w:tcW w:w="910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tc>
        <w:tc>
          <w:tcPr>
            <w:tcW w:w="920" w:type="dxa"/>
            <w:vAlign w:val="bottom"/>
          </w:tcPr>
          <w:p>
            <w:pPr>
              <w:spacing w:after="0"/>
              <w:rPr>
                <w:sz w:val="24"/>
                <w:szCs w:val="24"/>
                <w:color w:val="auto"/>
              </w:rPr>
            </w:pPr>
          </w:p>
        </w:tc>
      </w:tr>
      <w:tr>
        <w:trPr>
          <w:trHeight w:val="361"/>
        </w:trPr>
        <w:tc>
          <w:tcPr>
            <w:tcW w:w="1220" w:type="dxa"/>
            <w:vAlign w:val="bottom"/>
          </w:tcPr>
          <w:p>
            <w:pPr>
              <w:spacing w:after="0"/>
              <w:rPr>
                <w:sz w:val="24"/>
                <w:szCs w:val="24"/>
                <w:color w:val="auto"/>
              </w:rPr>
            </w:pPr>
          </w:p>
        </w:tc>
        <w:tc>
          <w:tcPr>
            <w:tcW w:w="910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920" w:type="dxa"/>
            <w:vAlign w:val="bottom"/>
          </w:tcPr>
          <w:p>
            <w:pPr>
              <w:spacing w:after="0"/>
              <w:rPr>
                <w:sz w:val="24"/>
                <w:szCs w:val="24"/>
                <w:color w:val="auto"/>
              </w:rPr>
            </w:pPr>
          </w:p>
        </w:tc>
      </w:tr>
      <w:tr>
        <w:trPr>
          <w:trHeight w:val="361"/>
        </w:trPr>
        <w:tc>
          <w:tcPr>
            <w:tcW w:w="1220" w:type="dxa"/>
            <w:vAlign w:val="bottom"/>
          </w:tcPr>
          <w:p>
            <w:pPr>
              <w:spacing w:after="0"/>
              <w:rPr>
                <w:sz w:val="24"/>
                <w:szCs w:val="24"/>
                <w:color w:val="auto"/>
              </w:rPr>
            </w:pPr>
          </w:p>
        </w:tc>
        <w:tc>
          <w:tcPr>
            <w:tcW w:w="910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 and 2023</w:t>
            </w:r>
          </w:p>
        </w:tc>
        <w:tc>
          <w:tcPr>
            <w:tcW w:w="920" w:type="dxa"/>
            <w:vAlign w:val="bottom"/>
          </w:tcPr>
          <w:p>
            <w:pPr>
              <w:spacing w:after="0"/>
              <w:rPr>
                <w:sz w:val="24"/>
                <w:szCs w:val="24"/>
                <w:color w:val="auto"/>
              </w:rPr>
            </w:pPr>
          </w:p>
        </w:tc>
      </w:tr>
      <w:tr>
        <w:trPr>
          <w:trHeight w:val="786"/>
        </w:trPr>
        <w:tc>
          <w:tcPr>
            <w:tcW w:w="12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209"/>
        </w:trPr>
        <w:tc>
          <w:tcPr>
            <w:tcW w:w="10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Firm ID 238)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F-2</w:t>
            </w:r>
          </w:p>
        </w:tc>
      </w:tr>
      <w:tr>
        <w:trPr>
          <w:trHeight w:val="219"/>
        </w:trPr>
        <w:tc>
          <w:tcPr>
            <w:tcW w:w="10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920" w:type="dxa"/>
            <w:vAlign w:val="bottom"/>
          </w:tcPr>
          <w:p>
            <w:pPr>
              <w:spacing w:after="0"/>
              <w:rPr>
                <w:sz w:val="19"/>
                <w:szCs w:val="19"/>
                <w:color w:val="auto"/>
              </w:rPr>
            </w:pPr>
          </w:p>
        </w:tc>
      </w:tr>
      <w:tr>
        <w:trPr>
          <w:trHeight w:val="219"/>
        </w:trPr>
        <w:tc>
          <w:tcPr>
            <w:tcW w:w="10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F-4</w:t>
            </w:r>
          </w:p>
        </w:tc>
      </w:tr>
      <w:tr>
        <w:trPr>
          <w:trHeight w:val="219"/>
        </w:trPr>
        <w:tc>
          <w:tcPr>
            <w:tcW w:w="10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Loss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F-5</w:t>
            </w:r>
          </w:p>
        </w:tc>
      </w:tr>
      <w:tr>
        <w:trPr>
          <w:trHeight w:val="219"/>
        </w:trPr>
        <w:tc>
          <w:tcPr>
            <w:tcW w:w="10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Consolidated Statements of Stockholders’ Equity</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F-6</w:t>
            </w:r>
          </w:p>
        </w:tc>
      </w:tr>
      <w:tr>
        <w:trPr>
          <w:trHeight w:val="219"/>
        </w:trPr>
        <w:tc>
          <w:tcPr>
            <w:tcW w:w="10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F-7</w:t>
            </w:r>
          </w:p>
        </w:tc>
      </w:tr>
      <w:tr>
        <w:trPr>
          <w:trHeight w:val="223"/>
        </w:trPr>
        <w:tc>
          <w:tcPr>
            <w:tcW w:w="10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F-8</w:t>
            </w:r>
          </w:p>
        </w:tc>
      </w:tr>
      <w:tr>
        <w:trPr>
          <w:trHeight w:val="864"/>
        </w:trPr>
        <w:tc>
          <w:tcPr>
            <w:tcW w:w="1220" w:type="dxa"/>
            <w:vAlign w:val="bottom"/>
          </w:tcPr>
          <w:p>
            <w:pPr>
              <w:spacing w:after="0"/>
              <w:rPr>
                <w:sz w:val="24"/>
                <w:szCs w:val="24"/>
                <w:color w:val="auto"/>
              </w:rPr>
            </w:pPr>
          </w:p>
        </w:tc>
        <w:tc>
          <w:tcPr>
            <w:tcW w:w="9100" w:type="dxa"/>
            <w:vAlign w:val="bottom"/>
          </w:tcPr>
          <w:p>
            <w:pPr>
              <w:jc w:val="center"/>
              <w:ind w:right="214"/>
              <w:spacing w:after="0"/>
              <w:rPr>
                <w:sz w:val="20"/>
                <w:szCs w:val="20"/>
                <w:color w:val="auto"/>
              </w:rPr>
            </w:pPr>
            <w:r>
              <w:rPr>
                <w:rFonts w:ascii="Times New Roman" w:cs="Times New Roman" w:eastAsia="Times New Roman" w:hAnsi="Times New Roman"/>
                <w:sz w:val="17"/>
                <w:szCs w:val="17"/>
                <w:color w:val="auto"/>
              </w:rPr>
              <w:t>F-1</w:t>
            </w:r>
          </w:p>
        </w:tc>
        <w:tc>
          <w:tcPr>
            <w:tcW w:w="920" w:type="dxa"/>
            <w:vAlign w:val="bottom"/>
          </w:tcPr>
          <w:p>
            <w:pPr>
              <w:spacing w:after="0"/>
              <w:rPr>
                <w:sz w:val="24"/>
                <w:szCs w:val="24"/>
                <w:color w:val="auto"/>
              </w:rPr>
            </w:pPr>
          </w:p>
        </w:tc>
      </w:tr>
      <w:tr>
        <w:trPr>
          <w:trHeight w:val="108"/>
        </w:trPr>
        <w:tc>
          <w:tcPr>
            <w:tcW w:w="1220" w:type="dxa"/>
            <w:vAlign w:val="bottom"/>
            <w:tcBorders>
              <w:bottom w:val="single" w:sz="8" w:color="9A9A9A"/>
            </w:tcBorders>
          </w:tcPr>
          <w:p>
            <w:pPr>
              <w:spacing w:after="0"/>
              <w:rPr>
                <w:sz w:val="9"/>
                <w:szCs w:val="9"/>
                <w:color w:val="auto"/>
              </w:rPr>
            </w:pPr>
          </w:p>
        </w:tc>
        <w:tc>
          <w:tcPr>
            <w:tcW w:w="9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02" w:lineRule="exact"/>
        <w:rPr>
          <w:sz w:val="20"/>
          <w:szCs w:val="20"/>
          <w:color w:val="auto"/>
        </w:rPr>
      </w:pPr>
    </w:p>
    <w:p>
      <w:pPr>
        <w:ind w:right="5180"/>
        <w:spacing w:after="0" w:line="443" w:lineRule="auto"/>
        <w:rPr>
          <w:sz w:val="20"/>
          <w:szCs w:val="20"/>
          <w:color w:val="auto"/>
        </w:rPr>
      </w:pPr>
      <w:r>
        <w:rPr>
          <w:rFonts w:ascii="Times New Roman" w:cs="Times New Roman" w:eastAsia="Times New Roman" w:hAnsi="Times New Roman"/>
          <w:sz w:val="17"/>
          <w:szCs w:val="17"/>
          <w:color w:val="auto"/>
        </w:rPr>
        <w:t xml:space="preserve">To the Board of Directors and Stockholders of PROCEPT BioRobotics Corporation </w:t>
      </w: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ind w:right="60"/>
        <w:spacing w:after="0" w:line="261"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PROCEPT BioRobotics Corporation and its subsidiaries (the "Company") as of December 31, 2025 and 2024, and the related consolidated statements of operations and comprehensive loss,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w:t>
      </w:r>
    </w:p>
    <w:p>
      <w:pPr>
        <w:spacing w:after="0" w:line="12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Robotic Systems Revenue Recognition</w:t>
      </w:r>
    </w:p>
    <w:p>
      <w:pPr>
        <w:spacing w:after="0" w:line="17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As described in Notes 2 and 11 to the consolidated financial statements, for the year ended December 31, 2025, the Company recognized system sales and rentals revenue of $106.1 million, which the majority relates to Robotic Systems. The Company’s Robotic Systems sales generally contain multiple products and services and can include a combination of the following performance obligations: robotic system, handpieces and consumables, and service. The Company recognizes revenue as the performance obligations are satisfied by transferring control of the product or service to a customer. For Robotic Systems (including system components and system accessories) sold directly to end users or intermediaries, revenue is recognized when the Company transfers control to the end users or intermediaries, in accordance with agreed upon shipping terms.</w:t>
      </w:r>
    </w:p>
    <w:p>
      <w:pPr>
        <w:spacing w:after="0" w:line="12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the Robotic Systems revenue recognition is a critical audit matter are the high degree of auditor effort in performing procedures related to the Robotic Systems revenue recognition.</w:t>
      </w:r>
    </w:p>
    <w:p>
      <w:pPr>
        <w:spacing w:after="0" w:line="1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Addressing the matter involved performing procedures in connection with forming our overall opinion on the consolidated financial statements. These procedures included testing the effectiveness of controls relating to the revenue recognition process. These procedures also included, among others, (i) evaluating revenue transactions by testing the issuance and settlement of invoices and credit memos, (ii) tracing transactions not settled to a detailed listing of accounts receivable, (iii) confirming a sample of outstanding customer invoice balances at year end and obtaining and inspecting source documents, including invoices, sales contracts, and shipping documents for unpaid invoices, and obtaining subsequent cash receipt for paid invoices, where applicable, for confirmations not returned, and (iv) testing the completeness and accuracy of data provided by management.</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2026</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2020.</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286,503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333,725</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83,496</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70,694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56,168</w:t>
            </w: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9,648</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8,453</w:t>
            </w:r>
          </w:p>
        </w:tc>
        <w:tc>
          <w:tcPr>
            <w:tcW w:w="0" w:type="dxa"/>
            <w:vAlign w:val="bottom"/>
          </w:tcPr>
          <w:p>
            <w:pPr>
              <w:spacing w:after="0"/>
              <w:rPr>
                <w:sz w:val="1"/>
                <w:szCs w:val="1"/>
                <w:color w:val="auto"/>
              </w:rPr>
            </w:pPr>
          </w:p>
        </w:tc>
      </w:tr>
      <w:tr>
        <w:trPr>
          <w:trHeight w:val="193"/>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450,378</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481,842</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30,399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26,709</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18,941</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6,019</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508,081</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1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17,285</w:t>
            </w:r>
          </w:p>
        </w:tc>
        <w:tc>
          <w:tcPr>
            <w:tcW w:w="80" w:type="dxa"/>
            <w:vAlign w:val="bottom"/>
          </w:tcPr>
          <w:p>
            <w:pPr>
              <w:spacing w:after="0"/>
              <w:rPr>
                <w:sz w:val="16"/>
                <w:szCs w:val="16"/>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10,032</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21,537</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9,565</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leases, current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Loan facility derivative liability</w:t>
            </w:r>
          </w:p>
        </w:tc>
        <w:tc>
          <w:tcPr>
            <w:tcW w:w="3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10,073</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w:t>
            </w:r>
          </w:p>
        </w:tc>
        <w:tc>
          <w:tcPr>
            <w:tcW w:w="0" w:type="dxa"/>
            <w:vAlign w:val="bottom"/>
          </w:tcPr>
          <w:p>
            <w:pPr>
              <w:spacing w:after="0"/>
              <w:rPr>
                <w:sz w:val="1"/>
                <w:szCs w:val="1"/>
                <w:color w:val="auto"/>
              </w:rPr>
            </w:pPr>
          </w:p>
        </w:tc>
      </w:tr>
      <w:tr>
        <w:trPr>
          <w:trHeight w:val="179"/>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53,133</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debt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51,615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51,472</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Operating leases, non-current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26,868</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142,211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131,797</w:t>
            </w:r>
          </w:p>
        </w:tc>
        <w:tc>
          <w:tcPr>
            <w:tcW w:w="0" w:type="dxa"/>
            <w:vAlign w:val="bottom"/>
          </w:tcPr>
          <w:p>
            <w:pPr>
              <w:spacing w:after="0"/>
              <w:rPr>
                <w:sz w:val="1"/>
                <w:szCs w:val="1"/>
                <w:color w:val="auto"/>
              </w:rPr>
            </w:pPr>
          </w:p>
        </w:tc>
      </w:tr>
      <w:tr>
        <w:trPr>
          <w:trHeight w:val="18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stock, $0.00001 par value;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1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Authorized shares: 10,000 at December 31, 2025 and 2024, respectively</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Issued and outstanding shares: none at December 31, 2025 and 2024</w:t>
            </w: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Authorized shares: 300,000 at December 31, 2025 and 2024, respectively</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Issued and outstanding shares: 56,323 and 54,718 at December 31, 2025 and 2024</w:t>
            </w:r>
          </w:p>
        </w:tc>
        <w:tc>
          <w:tcPr>
            <w:tcW w:w="3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1,007,390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948,091</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gain</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(641,557)</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(545,985)</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365,870</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402,220</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508,081</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534,017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8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308,054</w:t>
            </w:r>
          </w:p>
        </w:tc>
        <w:tc>
          <w:tcPr>
            <w:tcW w:w="4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136,191</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111,828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87,399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65,142</w:t>
            </w:r>
          </w:p>
        </w:tc>
        <w:tc>
          <w:tcPr>
            <w:tcW w:w="0" w:type="dxa"/>
            <w:vAlign w:val="bottom"/>
          </w:tcPr>
          <w:p>
            <w:pPr>
              <w:spacing w:after="0"/>
              <w:rPr>
                <w:sz w:val="1"/>
                <w:szCs w:val="1"/>
                <w:color w:val="auto"/>
              </w:rPr>
            </w:pPr>
          </w:p>
        </w:tc>
      </w:tr>
      <w:tr>
        <w:trPr>
          <w:trHeight w:val="19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137,099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71,049</w:t>
            </w:r>
          </w:p>
        </w:tc>
        <w:tc>
          <w:tcPr>
            <w:tcW w:w="0" w:type="dxa"/>
            <w:vAlign w:val="bottom"/>
          </w:tcPr>
          <w:p>
            <w:pPr>
              <w:spacing w:after="0"/>
              <w:rPr>
                <w:sz w:val="1"/>
                <w:szCs w:val="1"/>
                <w:color w:val="auto"/>
              </w:rPr>
            </w:pPr>
          </w:p>
        </w:tc>
      </w:tr>
      <w:tr>
        <w:trPr>
          <w:trHeight w:val="18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48,446</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228,808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131,773</w:t>
            </w:r>
          </w:p>
        </w:tc>
        <w:tc>
          <w:tcPr>
            <w:tcW w:w="0" w:type="dxa"/>
            <w:vAlign w:val="bottom"/>
          </w:tcPr>
          <w:p>
            <w:pPr>
              <w:spacing w:after="0"/>
              <w:rPr>
                <w:sz w:val="1"/>
                <w:szCs w:val="1"/>
                <w:color w:val="auto"/>
              </w:rPr>
            </w:pPr>
          </w:p>
        </w:tc>
      </w:tr>
      <w:tr>
        <w:trPr>
          <w:trHeight w:val="193"/>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300,085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233,713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180,219</w:t>
            </w:r>
          </w:p>
        </w:tc>
        <w:tc>
          <w:tcPr>
            <w:tcW w:w="0" w:type="dxa"/>
            <w:vAlign w:val="bottom"/>
          </w:tcPr>
          <w:p>
            <w:pPr>
              <w:spacing w:after="0"/>
              <w:rPr>
                <w:sz w:val="1"/>
                <w:szCs w:val="1"/>
                <w:color w:val="auto"/>
              </w:rPr>
            </w:pPr>
          </w:p>
        </w:tc>
      </w:tr>
      <w:tr>
        <w:trPr>
          <w:trHeight w:val="17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(103,859)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(109,170)</w:t>
            </w: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other income (expenses), net</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7,348</w:t>
            </w:r>
          </w:p>
        </w:tc>
        <w:tc>
          <w:tcPr>
            <w:tcW w:w="0" w:type="dxa"/>
            <w:vAlign w:val="bottom"/>
          </w:tcPr>
          <w:p>
            <w:pPr>
              <w:spacing w:after="0"/>
              <w:rPr>
                <w:sz w:val="1"/>
                <w:szCs w:val="1"/>
                <w:color w:val="auto"/>
              </w:rPr>
            </w:pPr>
          </w:p>
        </w:tc>
      </w:tr>
      <w:tr>
        <w:trPr>
          <w:trHeight w:val="19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(95,382)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(105,817)</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(105,897)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88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6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Weighted-average common shares used to</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compute net loss per share attributable to</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shareholders, basic and diluted</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Other comprehensive gain (loss):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6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Unrealized gain on cash equivalents</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1820" w:type="dxa"/>
            <w:vAlign w:val="bottom"/>
            <w:gridSpan w:val="3"/>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54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0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0" w:type="dxa"/>
            <w:vAlign w:val="bottom"/>
          </w:tcPr>
          <w:p>
            <w:pPr>
              <w:spacing w:after="0"/>
              <w:rPr>
                <w:sz w:val="9"/>
                <w:szCs w:val="9"/>
                <w:color w:val="auto"/>
              </w:rPr>
            </w:pPr>
          </w:p>
        </w:tc>
        <w:tc>
          <w:tcPr>
            <w:tcW w:w="98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9"/>
                <w:szCs w:val="9"/>
                <w:color w:val="auto"/>
              </w:rPr>
            </w:pPr>
          </w:p>
        </w:tc>
        <w:tc>
          <w:tcPr>
            <w:tcW w:w="900" w:type="dxa"/>
            <w:vAlign w:val="bottom"/>
            <w:vMerge w:val="restart"/>
          </w:tcPr>
          <w:p>
            <w:pPr>
              <w:jc w:val="center"/>
              <w:ind w:right="31"/>
              <w:spacing w:after="0" w:line="122"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22"/>
        </w:trPr>
        <w:tc>
          <w:tcPr>
            <w:tcW w:w="4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Gain (Loss)</w:t>
            </w:r>
          </w:p>
        </w:tc>
        <w:tc>
          <w:tcPr>
            <w:tcW w:w="10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9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1"/>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44,828</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545,753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(348,675)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197,072</w:t>
            </w:r>
          </w:p>
        </w:tc>
        <w:tc>
          <w:tcPr>
            <w:tcW w:w="0" w:type="dxa"/>
            <w:vAlign w:val="bottom"/>
          </w:tcPr>
          <w:p>
            <w:pPr>
              <w:spacing w:after="0"/>
              <w:rPr>
                <w:sz w:val="1"/>
                <w:szCs w:val="1"/>
                <w:color w:val="auto"/>
              </w:rPr>
            </w:pPr>
          </w:p>
        </w:tc>
      </w:tr>
      <w:tr>
        <w:trPr>
          <w:trHeight w:val="186"/>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under stock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net of issuance costs of $10,795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161,705</w:t>
            </w:r>
          </w:p>
        </w:tc>
        <w:tc>
          <w:tcPr>
            <w:tcW w:w="0" w:type="dxa"/>
            <w:vAlign w:val="bottom"/>
          </w:tcPr>
          <w:p>
            <w:pPr>
              <w:spacing w:after="0"/>
              <w:rPr>
                <w:sz w:val="1"/>
                <w:szCs w:val="1"/>
                <w:color w:val="auto"/>
              </w:rPr>
            </w:pPr>
          </w:p>
        </w:tc>
      </w:tr>
      <w:tr>
        <w:trPr>
          <w:trHeight w:val="186"/>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21,692</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on cash equivalents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6"/>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(105,897)</w:t>
            </w:r>
          </w:p>
        </w:tc>
        <w:tc>
          <w:tcPr>
            <w:tcW w:w="0" w:type="dxa"/>
            <w:vAlign w:val="bottom"/>
          </w:tcPr>
          <w:p>
            <w:pPr>
              <w:spacing w:after="0"/>
              <w:rPr>
                <w:sz w:val="1"/>
                <w:szCs w:val="1"/>
                <w:color w:val="auto"/>
              </w:rPr>
            </w:pPr>
          </w:p>
        </w:tc>
      </w:tr>
      <w:tr>
        <w:trPr>
          <w:trHeight w:val="193"/>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50,771</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735,240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(454,572)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280,752</w:t>
            </w:r>
          </w:p>
        </w:tc>
        <w:tc>
          <w:tcPr>
            <w:tcW w:w="0" w:type="dxa"/>
            <w:vAlign w:val="bottom"/>
          </w:tcPr>
          <w:p>
            <w:pPr>
              <w:spacing w:after="0"/>
              <w:rPr>
                <w:sz w:val="1"/>
                <w:szCs w:val="1"/>
                <w:color w:val="auto"/>
              </w:rPr>
            </w:pPr>
          </w:p>
        </w:tc>
      </w:tr>
      <w:tr>
        <w:trPr>
          <w:trHeight w:val="186"/>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under stock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15,602</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net of issuance costs of $11,282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164,523</w:t>
            </w:r>
          </w:p>
        </w:tc>
        <w:tc>
          <w:tcPr>
            <w:tcW w:w="0" w:type="dxa"/>
            <w:vAlign w:val="bottom"/>
          </w:tcPr>
          <w:p>
            <w:pPr>
              <w:spacing w:after="0"/>
              <w:rPr>
                <w:sz w:val="1"/>
                <w:szCs w:val="1"/>
                <w:color w:val="auto"/>
              </w:rPr>
            </w:pPr>
          </w:p>
        </w:tc>
      </w:tr>
      <w:tr>
        <w:trPr>
          <w:trHeight w:val="186"/>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32,726</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on cash equivalents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6"/>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(91,413)</w:t>
            </w:r>
          </w:p>
        </w:tc>
        <w:tc>
          <w:tcPr>
            <w:tcW w:w="0" w:type="dxa"/>
            <w:vAlign w:val="bottom"/>
          </w:tcPr>
          <w:p>
            <w:pPr>
              <w:spacing w:after="0"/>
              <w:rPr>
                <w:sz w:val="1"/>
                <w:szCs w:val="1"/>
                <w:color w:val="auto"/>
              </w:rPr>
            </w:pPr>
          </w:p>
        </w:tc>
      </w:tr>
      <w:tr>
        <w:trPr>
          <w:trHeight w:val="193"/>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54,718</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948,091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(545,985)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402,220</w:t>
            </w:r>
          </w:p>
        </w:tc>
        <w:tc>
          <w:tcPr>
            <w:tcW w:w="0" w:type="dxa"/>
            <w:vAlign w:val="bottom"/>
          </w:tcPr>
          <w:p>
            <w:pPr>
              <w:spacing w:after="0"/>
              <w:rPr>
                <w:sz w:val="1"/>
                <w:szCs w:val="1"/>
                <w:color w:val="auto"/>
              </w:rPr>
            </w:pPr>
          </w:p>
        </w:tc>
      </w:tr>
      <w:tr>
        <w:trPr>
          <w:trHeight w:val="186"/>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under stock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11,193</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48,106</w:t>
            </w:r>
          </w:p>
        </w:tc>
        <w:tc>
          <w:tcPr>
            <w:tcW w:w="0" w:type="dxa"/>
            <w:vAlign w:val="bottom"/>
          </w:tcPr>
          <w:p>
            <w:pPr>
              <w:spacing w:after="0"/>
              <w:rPr>
                <w:sz w:val="1"/>
                <w:szCs w:val="1"/>
                <w:color w:val="auto"/>
              </w:rPr>
            </w:pPr>
          </w:p>
        </w:tc>
      </w:tr>
      <w:tr>
        <w:trPr>
          <w:trHeight w:val="186"/>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(95,572)</w:t>
            </w:r>
          </w:p>
        </w:tc>
        <w:tc>
          <w:tcPr>
            <w:tcW w:w="0" w:type="dxa"/>
            <w:vAlign w:val="bottom"/>
          </w:tcPr>
          <w:p>
            <w:pPr>
              <w:spacing w:after="0"/>
              <w:rPr>
                <w:sz w:val="1"/>
                <w:szCs w:val="1"/>
                <w:color w:val="auto"/>
              </w:rPr>
            </w:pPr>
          </w:p>
        </w:tc>
      </w:tr>
      <w:tr>
        <w:trPr>
          <w:trHeight w:val="186"/>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56,323</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1,007,390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(641,557)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365,870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69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ind w:right="67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(95,572)</w:t>
            </w:r>
          </w:p>
        </w:tc>
        <w:tc>
          <w:tcPr>
            <w:tcW w:w="4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(91,413)</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(105,897)</w:t>
            </w:r>
          </w:p>
        </w:tc>
      </w:tr>
      <w:tr>
        <w:trPr>
          <w:trHeight w:val="20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cash used in operating activities: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w:t>
            </w: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19,134</w:t>
            </w: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fair value in derivative liability</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lease adjustment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3"/>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Inventory write-down</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loss on foreign currency transactions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6"/>
        </w:trPr>
        <w:tc>
          <w:tcPr>
            <w:tcW w:w="6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 net</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(33,103)</w:t>
            </w: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Inventory</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(9,751)</w:t>
            </w:r>
          </w:p>
        </w:tc>
      </w:tr>
      <w:tr>
        <w:trPr>
          <w:trHeight w:val="186"/>
        </w:trPr>
        <w:tc>
          <w:tcPr>
            <w:tcW w:w="6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r>
      <w:tr>
        <w:trPr>
          <w:trHeight w:val="186"/>
        </w:trPr>
        <w:tc>
          <w:tcPr>
            <w:tcW w:w="6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5,789</w:t>
            </w: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compensation</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w:t>
            </w:r>
          </w:p>
        </w:tc>
      </w:tr>
      <w:tr>
        <w:trPr>
          <w:trHeight w:val="186"/>
        </w:trPr>
        <w:tc>
          <w:tcPr>
            <w:tcW w:w="6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interest expense</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Loan facility liability</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revenue</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w:t>
            </w: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Reimbursements for leasehold improvements from operating leases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w:t>
            </w:r>
          </w:p>
        </w:tc>
      </w:tr>
      <w:tr>
        <w:trPr>
          <w:trHeight w:val="186"/>
        </w:trPr>
        <w:tc>
          <w:tcPr>
            <w:tcW w:w="69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Other liabilities</w:t>
            </w: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r>
      <w:tr>
        <w:trPr>
          <w:trHeight w:val="193"/>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(48,985)</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(99,213)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(108,003)</w:t>
            </w:r>
          </w:p>
        </w:tc>
      </w:tr>
      <w:tr>
        <w:trPr>
          <w:trHeight w:val="166"/>
        </w:trPr>
        <w:tc>
          <w:tcPr>
            <w:tcW w:w="69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(25,206)</w:t>
            </w:r>
          </w:p>
        </w:tc>
      </w:tr>
      <w:tr>
        <w:trPr>
          <w:trHeight w:val="179"/>
        </w:trPr>
        <w:tc>
          <w:tcPr>
            <w:tcW w:w="69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(9,356)</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(25,206)</w:t>
            </w: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w:t>
            </w: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from the exercise of stock options, net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r>
      <w:tr>
        <w:trPr>
          <w:trHeight w:val="186"/>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161,705</w:t>
            </w:r>
          </w:p>
        </w:tc>
      </w:tr>
      <w:tr>
        <w:trPr>
          <w:trHeight w:val="193"/>
        </w:trPr>
        <w:tc>
          <w:tcPr>
            <w:tcW w:w="6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167,795</w:t>
            </w:r>
          </w:p>
        </w:tc>
      </w:tr>
      <w:tr>
        <w:trPr>
          <w:trHeight w:val="18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cash equivalents and restricted cash</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(47,222)</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76,503</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34,586</w:t>
            </w:r>
          </w:p>
        </w:tc>
      </w:tr>
      <w:tr>
        <w:trPr>
          <w:trHeight w:val="188"/>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Beginning of the period</w:t>
            </w:r>
          </w:p>
        </w:tc>
        <w:tc>
          <w:tcPr>
            <w:tcW w:w="8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336,763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260,260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225,674</w:t>
            </w: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End of the period</w:t>
            </w:r>
          </w:p>
        </w:tc>
        <w:tc>
          <w:tcPr>
            <w:tcW w:w="8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289,541</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336,763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260,260</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9"/>
        </w:trPr>
        <w:tc>
          <w:tcPr>
            <w:tcW w:w="69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balance sheets:</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tcPr>
          <w:p>
            <w:pPr>
              <w:jc w:val="right"/>
              <w:ind w:right="67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286,503</w:t>
            </w:r>
          </w:p>
        </w:tc>
        <w:tc>
          <w:tcPr>
            <w:tcW w:w="4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333,725</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257,222</w:t>
            </w: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8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r>
      <w:tr>
        <w:trPr>
          <w:trHeight w:val="186"/>
        </w:trPr>
        <w:tc>
          <w:tcPr>
            <w:tcW w:w="6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Cash, cash equivalents and restricted cash in balance sheets</w:t>
            </w:r>
          </w:p>
        </w:tc>
        <w:tc>
          <w:tcPr>
            <w:tcW w:w="8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289,541</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336,763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260,260</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9"/>
        </w:trPr>
        <w:tc>
          <w:tcPr>
            <w:tcW w:w="69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93"/>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paid</w:t>
            </w:r>
          </w:p>
        </w:tc>
        <w:tc>
          <w:tcPr>
            <w:tcW w:w="840" w:type="dxa"/>
            <w:vAlign w:val="bottom"/>
          </w:tcPr>
          <w:p>
            <w:pPr>
              <w:jc w:val="right"/>
              <w:ind w:right="67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4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69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93"/>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Property and equipment included in accounts payable and accrued expenses</w:t>
            </w:r>
          </w:p>
        </w:tc>
        <w:tc>
          <w:tcPr>
            <w:tcW w:w="840" w:type="dxa"/>
            <w:vAlign w:val="bottom"/>
          </w:tcPr>
          <w:p>
            <w:pPr>
              <w:jc w:val="right"/>
              <w:ind w:right="67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4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w:t>
            </w:r>
          </w:p>
        </w:tc>
      </w:tr>
      <w:tr>
        <w:trPr>
          <w:trHeight w:val="20"/>
        </w:trPr>
        <w:tc>
          <w:tcPr>
            <w:tcW w:w="6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65" w:lineRule="exact"/>
        <w:rPr>
          <w:sz w:val="20"/>
          <w:szCs w:val="20"/>
          <w:color w:val="auto"/>
        </w:rPr>
      </w:pPr>
    </w:p>
    <w:p>
      <w:pPr>
        <w:ind w:right="9500" w:firstLine="3"/>
        <w:spacing w:after="0" w:line="445" w:lineRule="auto"/>
        <w:tabs>
          <w:tab w:leader="none" w:pos="301"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Description of Business</w:t>
      </w:r>
    </w:p>
    <w:p>
      <w:pPr>
        <w:spacing w:after="0" w:line="1"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PROCEPT BioRobotics Corporation (the “Company”) was incorporated in the state of California in 2007 and its headquarters are located in San Jose, California. In April 2021, the Company re-incorporated in the state of Delaware. The Company received U.S. Food and Drug Administration clearance in December 2017 to market its AquaBeam Robotic System, an automated surgical robot providing tissue removal for the treatment of benign prostatic hyperplasia, a prostate gland enlargement condition. On August 20, 2024, the Company received 510(k) clearance from the FDA for its next generation robot system, HYDROS Robotic System.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71"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As of December 31, 2025, the Company had cash and cash equivalents of $286.5 million and an accumulated deficit of $641.6 million. Since its inception, the Company has financed its operations with a combination of debt and equity financing arrangements. The Company expects its cash and cash equivalents, and revenue will be sufficient to fund its operations through at least the next twelve months from the issuance date of these consolidated financial statements. The Company has not achieved positive cash flow from operations to date and expects to continue incurring losses for the foreseeable future as it focuses on growing its business.</w:t>
      </w:r>
    </w:p>
    <w:p>
      <w:pPr>
        <w:spacing w:after="0" w:line="11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Summary of Significant Accounting Policies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Preparation</w:t>
      </w:r>
    </w:p>
    <w:p>
      <w:pPr>
        <w:spacing w:after="0" w:line="171" w:lineRule="exact"/>
        <w:rPr>
          <w:sz w:val="20"/>
          <w:szCs w:val="20"/>
          <w:color w:val="auto"/>
        </w:rPr>
      </w:pPr>
    </w:p>
    <w:p>
      <w:pPr>
        <w:jc w:val="both"/>
        <w:ind w:right="160" w:firstLine="309"/>
        <w:spacing w:after="0" w:line="270"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U.S. generally accepted accounting principles (“U.S. GAAP”) and pursuant to the rules and regulations of the United States Securities and Exchange Commission (“SEC”). These consolidated financial statements include the accounts of the Company and its consolidated subsidiaries. All intercompany balances and transactions have been eliminated upon consolidation.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71"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amounts and disclosures reported in the consolidated financial statements. Management uses significant judgment when making estimates related to its allowance for credit losses, excess and obsolete inventory reserves, stock-based compensation expense, right-of-use lease asset, lease liability, the valuations of the loan facility derivative liability, as well as certain accrued liabilities. Management bases its estimates on historical experience and on various other assumptions that are believed to be reasonable under the circumstances, the results of which form the basis for making judgments about the carrying values of assets and liabilities. Actual results could differ from those estimates.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71" w:lineRule="exact"/>
        <w:rPr>
          <w:sz w:val="20"/>
          <w:szCs w:val="20"/>
          <w:color w:val="auto"/>
        </w:rPr>
      </w:pPr>
    </w:p>
    <w:p>
      <w:pPr>
        <w:ind w:right="400" w:firstLine="309"/>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in banks highly liquid securities determined to be cash equivalents, which are readily convertible into cash and mature within 90 days or less from the original date of purchase. Cash and cash equivalents include money market funds.</w:t>
      </w:r>
    </w:p>
    <w:p>
      <w:pPr>
        <w:spacing w:after="0" w:line="100" w:lineRule="exact"/>
        <w:rPr>
          <w:sz w:val="20"/>
          <w:szCs w:val="20"/>
          <w:color w:val="auto"/>
        </w:rPr>
      </w:pPr>
    </w:p>
    <w:p>
      <w:pPr>
        <w:ind w:right="200" w:firstLine="309"/>
        <w:spacing w:after="0" w:line="287" w:lineRule="auto"/>
        <w:rPr>
          <w:sz w:val="20"/>
          <w:szCs w:val="20"/>
          <w:color w:val="auto"/>
        </w:rPr>
      </w:pPr>
      <w:r>
        <w:rPr>
          <w:rFonts w:ascii="Times New Roman" w:cs="Times New Roman" w:eastAsia="Times New Roman" w:hAnsi="Times New Roman"/>
          <w:sz w:val="17"/>
          <w:szCs w:val="17"/>
          <w:color w:val="auto"/>
        </w:rPr>
        <w:t>Cash equivalents are considered available-for-sale marketable securities and are recorded at fair value, based on quoted market prices. Unrealized gains and losses, if any, are recorded in other comprehensive gain (loss) and included as a separate component of stockholders’ equity.</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Restricted cash is related to the Company’s letter of credit for the lease of its San Jose, CA location.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71" w:lineRule="exact"/>
        <w:rPr>
          <w:sz w:val="20"/>
          <w:szCs w:val="20"/>
          <w:color w:val="auto"/>
        </w:rPr>
      </w:pPr>
    </w:p>
    <w:p>
      <w:pPr>
        <w:ind w:right="100" w:firstLine="309"/>
        <w:spacing w:after="0" w:line="270" w:lineRule="auto"/>
        <w:rPr>
          <w:sz w:val="20"/>
          <w:szCs w:val="20"/>
          <w:color w:val="auto"/>
        </w:rPr>
      </w:pPr>
      <w:r>
        <w:rPr>
          <w:rFonts w:ascii="Times New Roman" w:cs="Times New Roman" w:eastAsia="Times New Roman" w:hAnsi="Times New Roman"/>
          <w:sz w:val="17"/>
          <w:szCs w:val="17"/>
          <w:color w:val="auto"/>
        </w:rPr>
        <w:t>The Company measures certain financial assets and liabilities at fair value on a recurring basis, including cash and cash equivalents, and accounts receivable, accounts payable and accrued liabilities, which approximate fair value due to their relatively short maturities as well as the loan facility derivative liability. Fair value is an exit price, representing the amount that would be received to sell an asset or paid to transfer a liability in an orderly transaction between market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14"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7"/>
          <w:szCs w:val="17"/>
          <w:color w:val="auto"/>
        </w:rPr>
        <w:t>Level 1-</w:t>
      </w:r>
      <w:r>
        <w:rPr>
          <w:sz w:val="20"/>
          <w:szCs w:val="20"/>
          <w:color w:val="auto"/>
        </w:rPr>
        <w:tab/>
      </w:r>
      <w:r>
        <w:rPr>
          <w:rFonts w:ascii="Times New Roman" w:cs="Times New Roman" w:eastAsia="Times New Roman" w:hAnsi="Times New Roman"/>
          <w:sz w:val="17"/>
          <w:szCs w:val="17"/>
          <w:color w:val="auto"/>
        </w:rPr>
        <w:t>Observable inputs such as quoted prices (unadjusted) for identical assets or liabilities in active markets.</w:t>
      </w:r>
    </w:p>
    <w:p>
      <w:pPr>
        <w:spacing w:after="0" w:line="165" w:lineRule="exact"/>
        <w:rPr>
          <w:sz w:val="20"/>
          <w:szCs w:val="20"/>
          <w:color w:val="auto"/>
        </w:rPr>
      </w:pPr>
    </w:p>
    <w:p>
      <w:pPr>
        <w:ind w:left="1240" w:right="80" w:hanging="927"/>
        <w:spacing w:after="0" w:line="270" w:lineRule="auto"/>
        <w:tabs>
          <w:tab w:leader="none" w:pos="1220" w:val="left"/>
        </w:tabs>
        <w:rPr>
          <w:sz w:val="20"/>
          <w:szCs w:val="20"/>
          <w:color w:val="auto"/>
        </w:rPr>
      </w:pPr>
      <w:r>
        <w:rPr>
          <w:rFonts w:ascii="Times New Roman" w:cs="Times New Roman" w:eastAsia="Times New Roman" w:hAnsi="Times New Roman"/>
          <w:sz w:val="17"/>
          <w:szCs w:val="17"/>
          <w:color w:val="auto"/>
        </w:rPr>
        <w:t>Level 2-</w:t>
      </w:r>
      <w:r>
        <w:rPr>
          <w:sz w:val="20"/>
          <w:szCs w:val="20"/>
          <w:color w:val="auto"/>
        </w:rPr>
        <w:tab/>
      </w:r>
      <w:r>
        <w:rPr>
          <w:rFonts w:ascii="Times New Roman" w:cs="Times New Roman" w:eastAsia="Times New Roman" w:hAnsi="Times New Roman"/>
          <w:sz w:val="17"/>
          <w:szCs w:val="17"/>
          <w:color w:val="auto"/>
        </w:rPr>
        <w:t>Other inputs that are based upon quoted prices for similar instruments in active markets, quoted prices for identical or similar instruments in markets that are not active and model-based valuation techniques for which all significant inputs are observable in the market or can be derived from observable market data.</w:t>
      </w:r>
    </w:p>
    <w:p>
      <w:pPr>
        <w:spacing w:after="0" w:line="114"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7"/>
          <w:szCs w:val="17"/>
          <w:color w:val="auto"/>
        </w:rPr>
        <w:t>Level 3-</w:t>
      </w:r>
      <w:r>
        <w:rPr>
          <w:sz w:val="20"/>
          <w:szCs w:val="20"/>
          <w:color w:val="auto"/>
        </w:rPr>
        <w:tab/>
      </w:r>
      <w:r>
        <w:rPr>
          <w:rFonts w:ascii="Times New Roman" w:cs="Times New Roman" w:eastAsia="Times New Roman" w:hAnsi="Times New Roman"/>
          <w:sz w:val="17"/>
          <w:szCs w:val="17"/>
          <w:color w:val="auto"/>
        </w:rPr>
        <w:t>Unobservable inputs that are supported by little or no market activities, which would require the Company to develop its own assumptions.</w:t>
      </w:r>
    </w:p>
    <w:p>
      <w:pPr>
        <w:spacing w:after="0" w:line="165" w:lineRule="exact"/>
        <w:rPr>
          <w:sz w:val="20"/>
          <w:szCs w:val="20"/>
          <w:color w:val="auto"/>
        </w:rPr>
      </w:pPr>
    </w:p>
    <w:p>
      <w:pPr>
        <w:ind w:right="220" w:firstLine="309"/>
        <w:spacing w:after="0" w:line="287" w:lineRule="auto"/>
        <w:rPr>
          <w:sz w:val="20"/>
          <w:szCs w:val="20"/>
          <w:color w:val="auto"/>
        </w:rPr>
      </w:pPr>
      <w:r>
        <w:rPr>
          <w:rFonts w:ascii="Times New Roman" w:cs="Times New Roman" w:eastAsia="Times New Roman" w:hAnsi="Times New Roman"/>
          <w:sz w:val="17"/>
          <w:szCs w:val="17"/>
          <w:color w:val="auto"/>
        </w:rPr>
        <w:t>The fair value hierarchy also requires an entity to maximize the use of observable inputs and minimize the use of unobservable inputs when measuring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71" w:lineRule="exact"/>
        <w:rPr>
          <w:sz w:val="20"/>
          <w:szCs w:val="20"/>
          <w:color w:val="auto"/>
        </w:rPr>
      </w:pPr>
    </w:p>
    <w:p>
      <w:pPr>
        <w:jc w:val="both"/>
        <w:ind w:right="40" w:firstLine="309"/>
        <w:spacing w:after="0" w:line="270"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concentrations of credit risk, consist principally of cash and cash equivalents and, to a lesser extent, accounts receivable and leases receivable. The Company believes that credit risk in both accounts receivable and lease is mitigated by its credit evaluation process, relatively short collection terms and diversity of its customer base.</w:t>
      </w:r>
    </w:p>
    <w:p>
      <w:pPr>
        <w:spacing w:after="0" w:line="114" w:lineRule="exact"/>
        <w:rPr>
          <w:sz w:val="20"/>
          <w:szCs w:val="20"/>
          <w:color w:val="auto"/>
        </w:rPr>
      </w:pPr>
    </w:p>
    <w:p>
      <w:pPr>
        <w:ind w:right="280" w:firstLine="309"/>
        <w:spacing w:after="0" w:line="287" w:lineRule="auto"/>
        <w:rPr>
          <w:sz w:val="20"/>
          <w:szCs w:val="20"/>
          <w:color w:val="auto"/>
        </w:rPr>
      </w:pPr>
      <w:r>
        <w:rPr>
          <w:rFonts w:ascii="Times New Roman" w:cs="Times New Roman" w:eastAsia="Times New Roman" w:hAnsi="Times New Roman"/>
          <w:sz w:val="17"/>
          <w:szCs w:val="17"/>
          <w:color w:val="auto"/>
        </w:rPr>
        <w:t>No customers accounted for more than 10% of revenue during the year ended December 31, 2025, 2024 and 2023. No customers accounted for more than 10% of accounts receivable at December 31, 2025 and 2024.</w:t>
      </w:r>
    </w:p>
    <w:p>
      <w:pPr>
        <w:spacing w:after="0" w:line="100" w:lineRule="exact"/>
        <w:rPr>
          <w:sz w:val="20"/>
          <w:szCs w:val="20"/>
          <w:color w:val="auto"/>
        </w:rPr>
      </w:pPr>
    </w:p>
    <w:p>
      <w:pPr>
        <w:ind w:right="20" w:firstLine="309"/>
        <w:spacing w:after="0" w:line="264" w:lineRule="auto"/>
        <w:rPr>
          <w:sz w:val="20"/>
          <w:szCs w:val="20"/>
          <w:color w:val="auto"/>
        </w:rPr>
      </w:pPr>
      <w:r>
        <w:rPr>
          <w:rFonts w:ascii="Times New Roman" w:cs="Times New Roman" w:eastAsia="Times New Roman" w:hAnsi="Times New Roman"/>
          <w:sz w:val="17"/>
          <w:szCs w:val="17"/>
          <w:color w:val="auto"/>
        </w:rPr>
        <w:t>The Company’s investment policy limits investments to certain types of debt securities issued by the U.S. government, its agencies, and institutions with investment-grade credit ratings, as well as corporate debt or commercial paper issued by the highest quality financial and non-financial companies, and places restrictions on maturities and concentration by type and issuer. The Company is exposed to credit risk in the event of a default by the financial institutions holding its cash and cash equivalents and issuers of investments to the extent recorded on the balance sheets.</w:t>
      </w:r>
    </w:p>
    <w:p>
      <w:pPr>
        <w:spacing w:after="0" w:line="120" w:lineRule="exact"/>
        <w:rPr>
          <w:sz w:val="20"/>
          <w:szCs w:val="20"/>
          <w:color w:val="auto"/>
        </w:rPr>
      </w:pPr>
    </w:p>
    <w:p>
      <w:pPr>
        <w:ind w:right="400" w:firstLine="309"/>
        <w:spacing w:after="0" w:line="287" w:lineRule="auto"/>
        <w:rPr>
          <w:sz w:val="20"/>
          <w:szCs w:val="20"/>
          <w:color w:val="auto"/>
        </w:rPr>
      </w:pPr>
      <w:r>
        <w:rPr>
          <w:rFonts w:ascii="Times New Roman" w:cs="Times New Roman" w:eastAsia="Times New Roman" w:hAnsi="Times New Roman"/>
          <w:sz w:val="17"/>
          <w:szCs w:val="17"/>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171"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The Company’s expected loss allowance methodology is developed using its historical collection experience, current and future economic market conditions and a review of the current aging status and financial condition of its customers. Specific allowance amounts are established to record the appropriate allowance for customers that have a known risk of default. Balances are written off when they are ultimately determined to be uncollectible. The Company has not experienced significant credit losses. Credit losses have not been material for periods presented.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171" w:lineRule="exact"/>
        <w:rPr>
          <w:sz w:val="20"/>
          <w:szCs w:val="20"/>
          <w:color w:val="auto"/>
        </w:rPr>
      </w:pPr>
    </w:p>
    <w:p>
      <w:pPr>
        <w:ind w:right="260" w:firstLine="309"/>
        <w:spacing w:after="0" w:line="264" w:lineRule="auto"/>
        <w:rPr>
          <w:sz w:val="20"/>
          <w:szCs w:val="20"/>
          <w:color w:val="auto"/>
        </w:rPr>
      </w:pPr>
      <w:r>
        <w:rPr>
          <w:rFonts w:ascii="Times New Roman" w:cs="Times New Roman" w:eastAsia="Times New Roman" w:hAnsi="Times New Roman"/>
          <w:sz w:val="17"/>
          <w:szCs w:val="17"/>
          <w:color w:val="auto"/>
        </w:rPr>
        <w:t>Inventory, which primarily consists of raw materials, labor and overhead related to work in process and sub-assemblies, are valued at the lower of cost, computed on a first-in, first-out basis, or net realizable value. The allocation of production overhead to inventory costs is based on normal production capacity. Abnormal amounts of idle facility expense, freight, handling costs, and consumption are expensed as incurred, and not included in overhead. The Company maintains provisions for excess and obsolete inventory based on management’s estimates of forecasted demand and, where applicable, product expiration.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and Intangible Assets</w:t>
      </w:r>
    </w:p>
    <w:p>
      <w:pPr>
        <w:spacing w:after="0" w:line="171"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Property and equipment and intangible assets are stated at cost, less accumulated depreciation and amortization. Depreciation and amortization for property and equipment are determined using the straight-line method over the estimated useful lives of the respective assets, generally three to five years. Amortization of intangible assets are determined using the straight-line method over the estimated useful lives, generally through the patent expiration date. Leasehold improvements are amortized on a straight-line basis over the shorter of their estimated useful lives or the term of the lease. Maintenance and repairs are charged to operating expenses as incurred.</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78" w:right="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71"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Long-lived assets consist primarily of property and equipment and intangible assets,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The Company determines fair value using the income approach based on the present value of expected future cash flows or other appropriate measures of estimated fair value. The Company’s cash flow assumptions consider historical and forecasted revenue and operating costs and other relevant factors. No impairment losses were incurred in the periods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w:t>
      </w:r>
    </w:p>
    <w:p>
      <w:pPr>
        <w:spacing w:after="0" w:line="171"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7"/>
          <w:szCs w:val="17"/>
          <w:color w:val="auto"/>
        </w:rPr>
        <w:t>The timing of revenue recognition may differ from the timing of invoicing to customers. The Company records deferred revenue when revenue will be recognized subsequent to invoicing. Service agreements are generally invoiced annually at the beginning of each coverage period and recorded as deferred revenue and recognized as revenue ratably over the coverage period. Deferred revenue that will be recognized during the 12 months following the balance sheet date is recorded as the current portion of deferred revenue, and the remaining portion, if any, would be recorded as non-current.</w:t>
      </w:r>
    </w:p>
    <w:p>
      <w:pPr>
        <w:spacing w:after="0" w:line="120" w:lineRule="exact"/>
        <w:rPr>
          <w:sz w:val="20"/>
          <w:szCs w:val="20"/>
          <w:color w:val="auto"/>
        </w:rPr>
      </w:pPr>
    </w:p>
    <w:p>
      <w:pPr>
        <w:ind w:right="520" w:firstLine="30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2025, the Company recognized $9.7 million of revenue that was included in the deferred revenue balance as of December 31, 2024. During the year ended December 31, 2024, the Company recognized $5.9 million of revenue that was included in the deferred revenue balance as of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Facility Derivative Liability</w:t>
      </w:r>
    </w:p>
    <w:p>
      <w:pPr>
        <w:spacing w:after="0" w:line="171"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In connection with the Company’s previous loan facility (Note 6), the Company is obligated to pay a fee upon the earlier occurrence of a defined liquidity event, including but not limited to, a merger or sale of our assets or voting stock, or achieving a $200.0 million trailing 12 months revenue target, in each case, by September 2029. The fee is calculated at the time of the liquidity event occurrence to be $1.0 million if only the first installment has been drawn, $2.0 million if the first two installments have been drawn, $2.4 million if the first three installments have been drawn, or $3.0 million if all four installments have been drawn, in each case, upon the occurrence of the liquidity event. At the time of extinguishment, the Company has drawn on the first two installments. At December 31, 2024, the Company achieved the 12 month revenue target. The outstanding balance was paid in full during the second fiscal quarter of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accounts for leases under the guidance of ASC 842, Leases.</w:t>
      </w:r>
    </w:p>
    <w:p>
      <w:pPr>
        <w:spacing w:after="0" w:line="161" w:lineRule="exact"/>
        <w:rPr>
          <w:sz w:val="20"/>
          <w:szCs w:val="20"/>
          <w:color w:val="auto"/>
        </w:rPr>
      </w:pPr>
    </w:p>
    <w:p>
      <w:pPr>
        <w:ind w:firstLine="30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Operating Leases-Lessee. </w:t>
      </w:r>
      <w:r>
        <w:rPr>
          <w:rFonts w:ascii="Times New Roman" w:cs="Times New Roman" w:eastAsia="Times New Roman" w:hAnsi="Times New Roman"/>
          <w:sz w:val="17"/>
          <w:szCs w:val="17"/>
          <w:color w:val="auto"/>
        </w:rPr>
        <w:t>For agreements with a term of more than 12 months, the Company determines if the agreement contains a lease at inception.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lease liabilities represent an obligation to make lease payments arising from the lease agreement. Operating lease liabilities are recognized at the lease commencement date based on the present value of lease payments over the remaining lease term. In determining the present value of lease payments, the Company estimates its incremental borrowing rate as the rate of interest that the Company would have to pay to borrow on a collateralized basis over a similar term, of an amount equal to the lease payments in a similar economic environment. Operating lease liabilities are included in the Company’s consolidated balance sheet. Right-of-use assets represent our right to use an underlying asset for the lease term and are classified as non-current assets. Lease expense is recognized on a straight-line basis over the expected lease term in the Company’s consolidated statements of operations and comprehensive loss.</w:t>
      </w:r>
    </w:p>
    <w:p>
      <w:pPr>
        <w:spacing w:after="0" w:line="126" w:lineRule="exact"/>
        <w:rPr>
          <w:sz w:val="20"/>
          <w:szCs w:val="20"/>
          <w:color w:val="auto"/>
        </w:rPr>
      </w:pPr>
    </w:p>
    <w:p>
      <w:pPr>
        <w:ind w:right="60" w:firstLine="309"/>
        <w:spacing w:after="0" w:line="264" w:lineRule="auto"/>
        <w:rPr>
          <w:sz w:val="20"/>
          <w:szCs w:val="20"/>
          <w:color w:val="auto"/>
        </w:rPr>
      </w:pPr>
      <w:r>
        <w:rPr>
          <w:rFonts w:ascii="Times New Roman" w:cs="Times New Roman" w:eastAsia="Times New Roman" w:hAnsi="Times New Roman"/>
          <w:sz w:val="17"/>
          <w:szCs w:val="17"/>
          <w:color w:val="auto"/>
        </w:rPr>
        <w:t>The Company has not elected to separate lease and non-lease components for any leases within its existing classes of assets. The Company records a right-of-use asset and lease liability based on the present value of the future minimum lease payments over the term at commencement date. Variable lease payments are expensed as incurred. The Company has also elected to not apply the recognition requirement to any leases within its existing classes of assets with a term of 12 months or less and does not include an option to purchase the underlying asset that the Company is reasonably certain to exercise.</w:t>
      </w:r>
    </w:p>
    <w:p>
      <w:pPr>
        <w:spacing w:after="0" w:line="116" w:lineRule="exact"/>
        <w:rPr>
          <w:sz w:val="20"/>
          <w:szCs w:val="20"/>
          <w:color w:val="auto"/>
        </w:rPr>
      </w:pPr>
    </w:p>
    <w:p>
      <w:pPr>
        <w:ind w:right="40" w:firstLine="309"/>
        <w:spacing w:after="0" w:line="266" w:lineRule="auto"/>
        <w:rPr>
          <w:sz w:val="20"/>
          <w:szCs w:val="20"/>
          <w:color w:val="auto"/>
        </w:rPr>
      </w:pPr>
      <w:r>
        <w:rPr>
          <w:rFonts w:ascii="Times New Roman" w:cs="Times New Roman" w:eastAsia="Times New Roman" w:hAnsi="Times New Roman"/>
          <w:sz w:val="17"/>
          <w:szCs w:val="17"/>
          <w:i w:val="1"/>
          <w:iCs w:val="1"/>
          <w:color w:val="auto"/>
        </w:rPr>
        <w:t>Lessor</w:t>
      </w:r>
      <w:r>
        <w:rPr>
          <w:rFonts w:ascii="Times New Roman" w:cs="Times New Roman" w:eastAsia="Times New Roman" w:hAnsi="Times New Roman"/>
          <w:sz w:val="17"/>
          <w:szCs w:val="17"/>
          <w:color w:val="auto"/>
        </w:rPr>
        <w:t>. In determining whether a transaction should be classified as a sales-type or operating lease, the Company considers the following terms at lease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lessee is reasonably certain to exercise; and (5) whether the underlying system is of such a specialized nature that it is expected to have no alternative use to the Company at the end of the lease term.</w:t>
      </w:r>
    </w:p>
    <w:p>
      <w:pPr>
        <w:spacing w:after="0" w:line="100" w:lineRule="exact"/>
        <w:rPr>
          <w:sz w:val="20"/>
          <w:szCs w:val="20"/>
          <w:color w:val="auto"/>
        </w:rPr>
      </w:pPr>
    </w:p>
    <w:p>
      <w:pPr>
        <w:ind w:right="200" w:firstLine="309"/>
        <w:spacing w:after="0" w:line="261" w:lineRule="auto"/>
        <w:rPr>
          <w:sz w:val="20"/>
          <w:szCs w:val="20"/>
          <w:color w:val="auto"/>
        </w:rPr>
      </w:pPr>
      <w:r>
        <w:rPr>
          <w:rFonts w:ascii="Times New Roman" w:cs="Times New Roman" w:eastAsia="Times New Roman" w:hAnsi="Times New Roman"/>
          <w:sz w:val="17"/>
          <w:szCs w:val="17"/>
          <w:color w:val="auto"/>
        </w:rPr>
        <w:t>For leases in which the Company is the lessor and classifies the lease as a sales-type lease, revenue is recognized at the commencement of the lease term. Leasing arrangements generally only include a robotic system. Customers are provided with the right to purchase the leased system at the end of the lease term. Lease terms are typically 48 months and are usually collateralized by a security interest in the underlying robotic system. Selling profit is recognized at the lease commencement date as the difference between the fair value of the leased asset and the carrying amount of the asset at the lease commencement date. Interest income is recognized over the lease term.</w:t>
      </w:r>
    </w:p>
    <w:p>
      <w:pPr>
        <w:spacing w:after="0" w:line="123"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The Company invoices its leasing customers on a monthly basis. Short-term leases receivable are reported in accounts receivable and the long-term portion are reported in other assets within the Company’s consolidated balances sheets.</w:t>
      </w:r>
    </w:p>
    <w:p>
      <w:pPr>
        <w:spacing w:after="0" w:line="100" w:lineRule="exact"/>
        <w:rPr>
          <w:sz w:val="20"/>
          <w:szCs w:val="20"/>
          <w:color w:val="auto"/>
        </w:rPr>
      </w:pPr>
    </w:p>
    <w:p>
      <w:pPr>
        <w:ind w:right="200" w:firstLine="309"/>
        <w:spacing w:after="0" w:line="270" w:lineRule="auto"/>
        <w:rPr>
          <w:sz w:val="20"/>
          <w:szCs w:val="20"/>
          <w:color w:val="auto"/>
        </w:rPr>
      </w:pPr>
      <w:r>
        <w:rPr>
          <w:rFonts w:ascii="Times New Roman" w:cs="Times New Roman" w:eastAsia="Times New Roman" w:hAnsi="Times New Roman"/>
          <w:sz w:val="17"/>
          <w:szCs w:val="17"/>
          <w:color w:val="auto"/>
        </w:rPr>
        <w:t>In addition, the Company evaluates each sales-type lease for whether the collectibility of lease payments is reasonably assured and whether there are any significant uncertainties related to the costs yet to be incurred. The Company also assesses whether the lease term includes any renewal or extension options that would impact the revenue recognition pattern.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1" w:lineRule="exact"/>
        <w:rPr>
          <w:sz w:val="20"/>
          <w:szCs w:val="20"/>
          <w:color w:val="auto"/>
        </w:rPr>
      </w:pPr>
    </w:p>
    <w:p>
      <w:pPr>
        <w:ind w:right="140" w:firstLine="309"/>
        <w:spacing w:after="0" w:line="264" w:lineRule="auto"/>
        <w:rPr>
          <w:sz w:val="20"/>
          <w:szCs w:val="20"/>
          <w:color w:val="auto"/>
        </w:rPr>
      </w:pPr>
      <w:r>
        <w:rPr>
          <w:rFonts w:ascii="Times New Roman" w:cs="Times New Roman" w:eastAsia="Times New Roman" w:hAnsi="Times New Roman"/>
          <w:sz w:val="17"/>
          <w:szCs w:val="17"/>
          <w:color w:val="auto"/>
        </w:rPr>
        <w:t>Revenue is derived primarily from the sales of the AquaBeam Robotic Systems and HYDROS Robotic Systems, along with handpieces that are for one-time use during each surgery using the Company’s robotic systems. Included in the term “sales”, the Company includes sales-type leases accounted for in accordance with ASC 842 described above. The Company’s robotic systems contain both software and non-software components that are delivered together as a single product and generally contain a one-year warranty.</w:t>
      </w:r>
    </w:p>
    <w:p>
      <w:pPr>
        <w:spacing w:after="0" w:line="120" w:lineRule="exact"/>
        <w:rPr>
          <w:sz w:val="20"/>
          <w:szCs w:val="20"/>
          <w:color w:val="auto"/>
        </w:rPr>
      </w:pPr>
    </w:p>
    <w:p>
      <w:pPr>
        <w:ind w:right="40" w:firstLine="309"/>
        <w:spacing w:after="0" w:line="258" w:lineRule="auto"/>
        <w:rPr>
          <w:sz w:val="20"/>
          <w:szCs w:val="20"/>
          <w:color w:val="auto"/>
        </w:rPr>
      </w:pPr>
      <w:r>
        <w:rPr>
          <w:rFonts w:ascii="Times New Roman" w:cs="Times New Roman" w:eastAsia="Times New Roman" w:hAnsi="Times New Roman"/>
          <w:sz w:val="17"/>
          <w:szCs w:val="17"/>
          <w:color w:val="auto"/>
        </w:rPr>
        <w:t>To determine revenue recognition for arrangements that the Company determines are within the scope of ASC Topic 606, Revenue from Contracts with Customers (“ASC 606”),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determined those that are performance obligations and assess whether each promised good or service is distinct based on the contract.</w:t>
      </w:r>
    </w:p>
    <w:p>
      <w:pPr>
        <w:spacing w:after="0" w:line="128"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The contracts are typically in the form of an agreement and an ordering document from the customer. The Company’s HYDROS Robotic System and AquaBeam Robotic System sales generally contain multiple products and services and can include a combination of the following performance obligations: robotic system, handpieces and consumables, and service.</w:t>
      </w:r>
    </w:p>
    <w:p>
      <w:pPr>
        <w:spacing w:after="0" w:line="114" w:lineRule="exact"/>
        <w:rPr>
          <w:sz w:val="20"/>
          <w:szCs w:val="20"/>
          <w:color w:val="auto"/>
        </w:rPr>
      </w:pPr>
    </w:p>
    <w:p>
      <w:pPr>
        <w:ind w:right="40" w:firstLine="309"/>
        <w:spacing w:after="0" w:line="287" w:lineRule="auto"/>
        <w:rPr>
          <w:sz w:val="20"/>
          <w:szCs w:val="20"/>
          <w:color w:val="auto"/>
        </w:rPr>
      </w:pPr>
      <w:r>
        <w:rPr>
          <w:rFonts w:ascii="Times New Roman" w:cs="Times New Roman" w:eastAsia="Times New Roman" w:hAnsi="Times New Roman"/>
          <w:sz w:val="17"/>
          <w:szCs w:val="17"/>
          <w:color w:val="auto"/>
        </w:rPr>
        <w:t>The Company determines the transaction price it expects to be entitled to in exchange for transferring the promised product to the customer, which is based on the invoiced price for the products. All prices are at fixed amounts per the contract with the customer.</w:t>
      </w:r>
    </w:p>
    <w:p>
      <w:pPr>
        <w:spacing w:after="0" w:line="100" w:lineRule="exact"/>
        <w:rPr>
          <w:sz w:val="20"/>
          <w:szCs w:val="20"/>
          <w:color w:val="auto"/>
        </w:rPr>
      </w:pPr>
    </w:p>
    <w:p>
      <w:pPr>
        <w:ind w:right="200" w:firstLine="309"/>
        <w:spacing w:after="0" w:line="261" w:lineRule="auto"/>
        <w:rPr>
          <w:sz w:val="20"/>
          <w:szCs w:val="20"/>
          <w:color w:val="auto"/>
        </w:rPr>
      </w:pPr>
      <w:r>
        <w:rPr>
          <w:rFonts w:ascii="Times New Roman" w:cs="Times New Roman" w:eastAsia="Times New Roman" w:hAnsi="Times New Roman"/>
          <w:sz w:val="17"/>
          <w:szCs w:val="17"/>
          <w:color w:val="auto"/>
        </w:rPr>
        <w:t>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geographies, and type of customer. The Company regularly reviews standalone selling prices and updates these estimates as necessary.</w:t>
      </w:r>
    </w:p>
    <w:p>
      <w:pPr>
        <w:spacing w:after="0" w:line="123"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The Company has determined that certain promises in the multiple-element arrangements, such as installation, training and certain ancillary products, are immaterial, and do not represent separate performance obligations for which transaction price is allocated.</w:t>
      </w:r>
    </w:p>
    <w:p>
      <w:pPr>
        <w:spacing w:after="0" w:line="100" w:lineRule="exact"/>
        <w:rPr>
          <w:sz w:val="20"/>
          <w:szCs w:val="20"/>
          <w:color w:val="auto"/>
        </w:rPr>
      </w:pPr>
    </w:p>
    <w:p>
      <w:pPr>
        <w:ind w:right="140" w:firstLine="309"/>
        <w:spacing w:after="0" w:line="270" w:lineRule="auto"/>
        <w:rPr>
          <w:sz w:val="20"/>
          <w:szCs w:val="20"/>
          <w:color w:val="auto"/>
        </w:rPr>
      </w:pPr>
      <w:r>
        <w:rPr>
          <w:rFonts w:ascii="Times New Roman" w:cs="Times New Roman" w:eastAsia="Times New Roman" w:hAnsi="Times New Roman"/>
          <w:sz w:val="17"/>
          <w:szCs w:val="17"/>
          <w:color w:val="auto"/>
        </w:rPr>
        <w:t>The Company’s typical payment terms are between 30 to 90 days. All shipping and handling costs are expensed as incurred, and are recorded in cost of sales as a fulfillment activity. In those cases where shipping and handling costs are billed to customers, the Company classifies the amounts billed as a component of revenue. Taxes collected from customers and remitted to governmental authorities are excluded from revenue.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Robotic system arrangements generally do not provide a right of return, however, the Company has granted a right of return on a case-by-case basis. The Company estimates returns at contract inception based on historical return amounts. Return estimates are recorded as a reduction to revenue. Returns have not been material for periods presented.</w:t>
      </w:r>
    </w:p>
    <w:p>
      <w:pPr>
        <w:spacing w:after="0" w:line="114"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The Company has granted rebates on a limited basis. Rebates are recorded as a reduction to revenue at time of sale. Rebates have not been material for periods presented.</w:t>
      </w:r>
    </w:p>
    <w:p>
      <w:pPr>
        <w:spacing w:after="0" w:line="100" w:lineRule="exact"/>
        <w:rPr>
          <w:sz w:val="20"/>
          <w:szCs w:val="20"/>
          <w:color w:val="auto"/>
        </w:rPr>
      </w:pPr>
    </w:p>
    <w:p>
      <w:pPr>
        <w:ind w:right="60" w:firstLine="309"/>
        <w:spacing w:after="0" w:line="270" w:lineRule="auto"/>
        <w:rPr>
          <w:sz w:val="20"/>
          <w:szCs w:val="20"/>
          <w:color w:val="auto"/>
        </w:rPr>
      </w:pPr>
      <w:r>
        <w:rPr>
          <w:rFonts w:ascii="Times New Roman" w:cs="Times New Roman" w:eastAsia="Times New Roman" w:hAnsi="Times New Roman"/>
          <w:sz w:val="17"/>
          <w:szCs w:val="17"/>
          <w:color w:val="auto"/>
        </w:rPr>
        <w:t>Given the release of the next generation robotic system, the HYDROS Robotic System, for a limited period and on a case by case basis, the Company has entered into arrangements with existing customers to sell a HYDROS Robotic System with an exchange of a previously purchased AquaBeam Robotic System for additional consideration. Exchanges have not been material for periods presented.</w:t>
      </w:r>
    </w:p>
    <w:p>
      <w:pPr>
        <w:spacing w:after="0" w:line="114" w:lineRule="exact"/>
        <w:rPr>
          <w:sz w:val="20"/>
          <w:szCs w:val="20"/>
          <w:color w:val="auto"/>
        </w:rPr>
      </w:pPr>
    </w:p>
    <w:p>
      <w:pPr>
        <w:ind w:right="60" w:firstLine="309"/>
        <w:spacing w:after="0" w:line="264" w:lineRule="auto"/>
        <w:rPr>
          <w:sz w:val="20"/>
          <w:szCs w:val="20"/>
          <w:color w:val="auto"/>
        </w:rPr>
      </w:pPr>
      <w:r>
        <w:rPr>
          <w:rFonts w:ascii="Times New Roman" w:cs="Times New Roman" w:eastAsia="Times New Roman" w:hAnsi="Times New Roman"/>
          <w:sz w:val="17"/>
          <w:szCs w:val="17"/>
          <w:color w:val="auto"/>
        </w:rPr>
        <w:t>Sales commissions are considered incremental and recoverable costs of acquiring customer contracts. These costs are deferred and amortized over a straight-line basis when the estimated benefit period is greater than one year. The Company applies the practical expedient to expense costs to obtain a contract as incurred when the amortization period would have been one year or less. The amortization expense is reported in selling, general and administrative expense in the statements of operations and comprehensive loss.</w:t>
      </w:r>
    </w:p>
    <w:p>
      <w:pPr>
        <w:spacing w:after="0" w:line="120"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The Company utilizes the practical expedient under ASC 606 and does not disclose unsatisfied performance obligations for service contracts as these contracts generally have an original duration of less than one year. For those contracts with an original duration exceeding one year, the aggregate amount of transaction price allocated to the performance obligations unsatisfied at December 31, 2025 was not material.</w:t>
      </w:r>
    </w:p>
    <w:p>
      <w:pPr>
        <w:spacing w:after="0" w:line="114" w:lineRule="exact"/>
        <w:rPr>
          <w:sz w:val="20"/>
          <w:szCs w:val="20"/>
          <w:color w:val="auto"/>
        </w:rPr>
      </w:pPr>
    </w:p>
    <w:p>
      <w:pPr>
        <w:ind w:right="220" w:firstLine="309"/>
        <w:spacing w:after="0" w:line="287" w:lineRule="auto"/>
        <w:rPr>
          <w:sz w:val="20"/>
          <w:szCs w:val="20"/>
          <w:color w:val="auto"/>
        </w:rPr>
      </w:pPr>
      <w:r>
        <w:rPr>
          <w:rFonts w:ascii="Times New Roman" w:cs="Times New Roman" w:eastAsia="Times New Roman" w:hAnsi="Times New Roman"/>
          <w:sz w:val="17"/>
          <w:szCs w:val="17"/>
          <w:color w:val="auto"/>
        </w:rPr>
        <w:t>The Company recognizes revenue as the performance obligations are satisfied by transferring control of the product or service to a customer. The Company generally recognizes revenue for the performance obligations as follows: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AquaBeam Robotic Systems and HYDROS Robotic Systems</w:t>
      </w:r>
    </w:p>
    <w:p>
      <w:pPr>
        <w:spacing w:after="0" w:line="165" w:lineRule="exact"/>
        <w:rPr>
          <w:sz w:val="20"/>
          <w:szCs w:val="20"/>
          <w:color w:val="auto"/>
        </w:rPr>
      </w:pPr>
    </w:p>
    <w:p>
      <w:pPr>
        <w:ind w:right="60"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End user sales - </w:t>
      </w:r>
      <w:r>
        <w:rPr>
          <w:rFonts w:ascii="Times New Roman" w:cs="Times New Roman" w:eastAsia="Times New Roman" w:hAnsi="Times New Roman"/>
          <w:sz w:val="17"/>
          <w:szCs w:val="17"/>
          <w:color w:val="auto"/>
        </w:rPr>
        <w:t>For systems (including robotic system components and robotic system accessories) sold directly to end users, revenue is recognized when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transfers control to the end user, in accordance with agreed upon shipping terms. The Company has determined in these type of arrangements the end user is the Company’s customer.</w:t>
      </w:r>
    </w:p>
    <w:p>
      <w:pPr>
        <w:spacing w:after="0" w:line="109" w:lineRule="exact"/>
        <w:rPr>
          <w:sz w:val="20"/>
          <w:szCs w:val="20"/>
          <w:color w:val="auto"/>
        </w:rPr>
      </w:pPr>
    </w:p>
    <w:p>
      <w:pPr>
        <w:ind w:right="80"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Intermediary sales - </w:t>
      </w:r>
      <w:r>
        <w:rPr>
          <w:rFonts w:ascii="Times New Roman" w:cs="Times New Roman" w:eastAsia="Times New Roman" w:hAnsi="Times New Roman"/>
          <w:sz w:val="17"/>
          <w:szCs w:val="17"/>
          <w:color w:val="auto"/>
        </w:rPr>
        <w:t>For systems sold to distributors or to leasing companies (intermediary), revenue is recognized when the Company transfers control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intermediary, in accordance with agreed upon shipping terms. The Company has determined in these type of arrangements the intermediary is the Company’s customer.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Hand-pieces and other consumables</w:t>
      </w:r>
    </w:p>
    <w:p>
      <w:pPr>
        <w:spacing w:after="0" w:line="169" w:lineRule="exact"/>
        <w:rPr>
          <w:sz w:val="20"/>
          <w:szCs w:val="20"/>
          <w:color w:val="auto"/>
        </w:rPr>
      </w:pPr>
    </w:p>
    <w:p>
      <w:pPr>
        <w:ind w:right="100" w:firstLine="309"/>
        <w:spacing w:after="0" w:line="287" w:lineRule="auto"/>
        <w:rPr>
          <w:sz w:val="20"/>
          <w:szCs w:val="20"/>
          <w:color w:val="auto"/>
        </w:rPr>
      </w:pPr>
      <w:r>
        <w:rPr>
          <w:rFonts w:ascii="Times New Roman" w:cs="Times New Roman" w:eastAsia="Times New Roman" w:hAnsi="Times New Roman"/>
          <w:sz w:val="17"/>
          <w:szCs w:val="17"/>
          <w:color w:val="auto"/>
        </w:rPr>
        <w:t>Revenue from sales of handpieces and other consumables is recognized when the Company transfers control to the customer, in accordance with agreed upon shipping terms.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w:t>
      </w:r>
    </w:p>
    <w:p>
      <w:pPr>
        <w:spacing w:after="0" w:line="169" w:lineRule="exact"/>
        <w:rPr>
          <w:sz w:val="20"/>
          <w:szCs w:val="20"/>
          <w:color w:val="auto"/>
        </w:rPr>
      </w:pPr>
    </w:p>
    <w:p>
      <w:pPr>
        <w:ind w:right="440" w:firstLine="309"/>
        <w:spacing w:after="0" w:line="287" w:lineRule="auto"/>
        <w:rPr>
          <w:sz w:val="20"/>
          <w:szCs w:val="20"/>
          <w:color w:val="auto"/>
        </w:rPr>
      </w:pPr>
      <w:r>
        <w:rPr>
          <w:rFonts w:ascii="Times New Roman" w:cs="Times New Roman" w:eastAsia="Times New Roman" w:hAnsi="Times New Roman"/>
          <w:sz w:val="17"/>
          <w:szCs w:val="17"/>
          <w:color w:val="auto"/>
        </w:rPr>
        <w:t>Service revenue, inclusive of the amounts associated with the AquaBeam Robotic System and HYDROS Robotic System warranties or extended service agreements, is recognized over the term of the service period, as the customer benefits from the services throughout the service period.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171" w:lineRule="exact"/>
        <w:rPr>
          <w:sz w:val="20"/>
          <w:szCs w:val="20"/>
          <w:color w:val="auto"/>
        </w:rPr>
      </w:pPr>
    </w:p>
    <w:p>
      <w:pPr>
        <w:ind w:right="40" w:firstLine="309"/>
        <w:spacing w:after="0" w:line="267" w:lineRule="auto"/>
        <w:rPr>
          <w:sz w:val="20"/>
          <w:szCs w:val="20"/>
          <w:color w:val="auto"/>
        </w:rPr>
      </w:pPr>
      <w:r>
        <w:rPr>
          <w:rFonts w:ascii="Times New Roman" w:cs="Times New Roman" w:eastAsia="Times New Roman" w:hAnsi="Times New Roman"/>
          <w:sz w:val="17"/>
          <w:szCs w:val="17"/>
          <w:color w:val="auto"/>
        </w:rPr>
        <w:t>Cost of sales consists primarily of manufacturing overhead costs, material costs and direct labor, including stock-based compensation. These overhead costs include the cost of quality assurance, material procurement, inventory control, facilities, equipment and operations supervision and management. Cost of sales also includes depreciation expense for production equipment, warranty, and field service costs, and purchased intangibles and certain direct costs such as shipping costs.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71"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consist primarily of engineering, product development, and regulatory affairs, consulting services, materials, depreciation and other costs associated with products and technologies being developed, including employee and non-employee compensation, stock-based compensation, supplies, quality assurance expenses, related travel expenses and facilities expenses.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67" w:lineRule="exact"/>
        <w:rPr>
          <w:sz w:val="20"/>
          <w:szCs w:val="20"/>
          <w:color w:val="auto"/>
        </w:rPr>
      </w:pPr>
    </w:p>
    <w:p>
      <w:pPr>
        <w:jc w:val="both"/>
        <w:ind w:right="280" w:firstLine="309"/>
        <w:spacing w:after="0" w:line="272" w:lineRule="auto"/>
        <w:rPr>
          <w:sz w:val="20"/>
          <w:szCs w:val="20"/>
          <w:color w:val="auto"/>
        </w:rPr>
      </w:pPr>
      <w:r>
        <w:rPr>
          <w:rFonts w:ascii="Times New Roman" w:cs="Times New Roman" w:eastAsia="Times New Roman" w:hAnsi="Times New Roman"/>
          <w:sz w:val="17"/>
          <w:szCs w:val="17"/>
          <w:color w:val="auto"/>
        </w:rPr>
        <w:t xml:space="preserve">The Company accounts for stock options granted to employees and directors under the fair value recognition provision of ASC 718, Compensation - </w:t>
      </w:r>
      <w:r>
        <w:rPr>
          <w:rFonts w:ascii="Times New Roman" w:cs="Times New Roman" w:eastAsia="Times New Roman" w:hAnsi="Times New Roman"/>
          <w:sz w:val="17"/>
          <w:szCs w:val="17"/>
          <w:i w:val="1"/>
          <w:iCs w:val="1"/>
          <w:color w:val="auto"/>
        </w:rPr>
        <w:t>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Stock-based compensation expense is recognized over the requisite service period in the statements of operations and comprehensive loss.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uses the straight-line method for expense attribution.</w:t>
      </w:r>
    </w:p>
    <w:p>
      <w:pPr>
        <w:spacing w:after="0" w:line="113" w:lineRule="exact"/>
        <w:rPr>
          <w:sz w:val="20"/>
          <w:szCs w:val="20"/>
          <w:color w:val="auto"/>
        </w:rPr>
      </w:pPr>
    </w:p>
    <w:p>
      <w:pPr>
        <w:ind w:right="60" w:firstLine="309"/>
        <w:spacing w:after="0" w:line="255" w:lineRule="auto"/>
        <w:rPr>
          <w:sz w:val="20"/>
          <w:szCs w:val="20"/>
          <w:color w:val="auto"/>
        </w:rPr>
      </w:pPr>
      <w:r>
        <w:rPr>
          <w:rFonts w:ascii="Times New Roman" w:cs="Times New Roman" w:eastAsia="Times New Roman" w:hAnsi="Times New Roman"/>
          <w:sz w:val="17"/>
          <w:szCs w:val="17"/>
          <w:color w:val="auto"/>
        </w:rPr>
        <w:t>The Company estimates the fair value of stock options on the date of grant using the Black-Scholes option-pricing model. The Black-Scholes model determines the fair value of stock-based payment awards based on the fair market value of the Company’s common stock on the date of grant and is affected by assumptions regarding a number of highly complex and subjective variables. These variables include, but are not limited to, the fair market value of the Company’s common stock, volatility over the expected term of the awards and actual and projected employee stock option exercise behaviors. The Company has opted to use the “simplified method” for estimating the expected term of options, whereby the expected term equals the arithmetic average of the vesting term and the original contractual term of the option. Since there has been limited company specific historical volatility, the Company’s expected stock price volatility assumptions were determined using a blended volatility, by examining the historical volatilities for industry peers and the volatility of the Company’s stock following our initial public offering. When selecting these public companies on which it has based its expected stock price volatility, the Company generally selected companies with comparable characteristics to it, including enterprise value, stages of clinical development, risk profiles, position within the industry and with historical share price information sufficient to meet the expected life of the stock-based awards. The historical volatility data was computed using the daily closing prices for the Company and selected companies’ shares during the equivalent period of the calculated expected term of the share-based payments. The Company will continue to analyze the historical stock price volatility and expected term assumptions as more historical data for the Company’s common stock becomes available. The risk-free rate assumption is based on the U.S. Treasury instruments with maturities similar to the expected term of the Company’s stock options. The expected dividend assumption is based on the Company’s history of not paying dividends and its expectation that it will not declare dividends for the foreseeable future. The Company has elected to account for forfeitures when they occur.</w:t>
      </w:r>
    </w:p>
    <w:p>
      <w:pPr>
        <w:spacing w:after="0" w:line="133" w:lineRule="exact"/>
        <w:rPr>
          <w:sz w:val="20"/>
          <w:szCs w:val="20"/>
          <w:color w:val="auto"/>
        </w:rPr>
      </w:pPr>
    </w:p>
    <w:p>
      <w:pPr>
        <w:jc w:val="both"/>
        <w:ind w:right="60" w:firstLine="309"/>
        <w:spacing w:after="0" w:line="270" w:lineRule="auto"/>
        <w:rPr>
          <w:sz w:val="20"/>
          <w:szCs w:val="20"/>
          <w:color w:val="auto"/>
        </w:rPr>
      </w:pPr>
      <w:r>
        <w:rPr>
          <w:rFonts w:ascii="Times New Roman" w:cs="Times New Roman" w:eastAsia="Times New Roman" w:hAnsi="Times New Roman"/>
          <w:sz w:val="17"/>
          <w:szCs w:val="17"/>
          <w:color w:val="auto"/>
        </w:rPr>
        <w:t>The Company accounts for the fair value of restricted stock units (“RSUs”) using the closing market price of the Company’s common stock on the date of the grant. Stock-based compensation cost for RSUs is measured at the grant date based on the estimated fair value of the award and is recognized as expense over the requisite service period (generally the vesting period), net of forfeitures.</w:t>
      </w:r>
    </w:p>
    <w:p>
      <w:pPr>
        <w:spacing w:after="0" w:line="114"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The Company accounts for the fair value of performance stock units (“PSUs”) using the closing market price of the Company’s common stock on the date of the grant. The awards include predefined performance and market conditions. The Company estimates the number of awards with performance conditions that will ultimately vest based on the probability of achievement each quarter to determine the amount of compensation expense to recognize each reporting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Expenses</w:t>
      </w:r>
    </w:p>
    <w:p>
      <w:pPr>
        <w:spacing w:after="0" w:line="171" w:lineRule="exact"/>
        <w:rPr>
          <w:sz w:val="20"/>
          <w:szCs w:val="20"/>
          <w:color w:val="auto"/>
        </w:rPr>
      </w:pPr>
    </w:p>
    <w:p>
      <w:pPr>
        <w:ind w:right="160" w:firstLine="309"/>
        <w:spacing w:after="0" w:line="287" w:lineRule="auto"/>
        <w:rPr>
          <w:sz w:val="20"/>
          <w:szCs w:val="20"/>
          <w:color w:val="auto"/>
        </w:rPr>
      </w:pPr>
      <w:r>
        <w:rPr>
          <w:rFonts w:ascii="Times New Roman" w:cs="Times New Roman" w:eastAsia="Times New Roman" w:hAnsi="Times New Roman"/>
          <w:sz w:val="17"/>
          <w:szCs w:val="17"/>
          <w:color w:val="auto"/>
        </w:rPr>
        <w:t>The Company expenses the costs of advertising, including promotional expenses, as incurred. Advertising expenses for the years ended December 31, 2025, 2024, and 2023 were $0.6 million, $0.5 million, and $0.3 million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71"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Under this method, deferred tax assets and liabilities are determined based on the differences between the financial reporting and tax bases of assets and liabilities and are measured using the enacted tax rates that will be in effect when the differences are expected to reverse. Valuation allowances against deferred tax assets are established when necessary to reduce deferred tax assets to the amounts expected to be realized. Currently, the Company has recorded a full valuation allowance against its deferred tax assets and there is no provision for income taxes, as the Company has incurred operating losses to-date. The Company’s policy is to record interest and penalties related to uncertain tax positions as a component of income tax expense in the statement of operations. To date, there have been no interest or penalties charged in relation to the unrecognized tax benefits.</w:t>
      </w:r>
    </w:p>
    <w:p>
      <w:pPr>
        <w:spacing w:after="0" w:line="122" w:lineRule="exact"/>
        <w:rPr>
          <w:sz w:val="20"/>
          <w:szCs w:val="20"/>
          <w:color w:val="auto"/>
        </w:rPr>
      </w:pPr>
    </w:p>
    <w:p>
      <w:pPr>
        <w:jc w:val="both"/>
        <w:ind w:right="40" w:firstLine="309"/>
        <w:spacing w:after="0" w:line="270" w:lineRule="auto"/>
        <w:rPr>
          <w:sz w:val="20"/>
          <w:szCs w:val="20"/>
          <w:color w:val="auto"/>
        </w:rPr>
      </w:pPr>
      <w:r>
        <w:rPr>
          <w:rFonts w:ascii="Times New Roman" w:cs="Times New Roman" w:eastAsia="Times New Roman" w:hAnsi="Times New Roman"/>
          <w:sz w:val="17"/>
          <w:szCs w:val="17"/>
          <w:color w:val="auto"/>
        </w:rPr>
        <w:t>Beginning in fiscal 2025, the Company separately presents provision for income taxes on the consolidated statements of operations. In prior years, income tax expense was included in other income (expense) as it was immaterial. Prior year income tax amounts have been reclassified for consistency with the current year’s presentation.</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71" w:lineRule="exact"/>
        <w:rPr>
          <w:sz w:val="20"/>
          <w:szCs w:val="20"/>
          <w:color w:val="auto"/>
        </w:rPr>
      </w:pPr>
    </w:p>
    <w:p>
      <w:pPr>
        <w:ind w:right="200" w:firstLine="309"/>
        <w:spacing w:after="0" w:line="264" w:lineRule="auto"/>
        <w:rPr>
          <w:sz w:val="20"/>
          <w:szCs w:val="20"/>
          <w:color w:val="auto"/>
        </w:rPr>
      </w:pPr>
      <w:r>
        <w:rPr>
          <w:rFonts w:ascii="Times New Roman" w:cs="Times New Roman" w:eastAsia="Times New Roman" w:hAnsi="Times New Roman"/>
          <w:sz w:val="17"/>
          <w:szCs w:val="17"/>
          <w:color w:val="auto"/>
        </w:rPr>
        <w:t>Basic net loss per share is computed by dividing the net loss by the weighted-average number of shares of common stock outstanding during the period. Diluted net loss per share is computed by dividing the net loss by the weighted-average number of shares of common stock and common stock equivalent shares from dilutive stock options and common stock warrants outstanding during the period. Because the Company has reported a net loss for all periods presented, diluted net loss per share is the same as basic net loss per share for those periods as all potentially dilutive securities were antidilutive in those periods.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Gain (Loss)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Comprehensive gain (loss) consists of unrealized gains and losses on cash equivalents and foreign currency translation adjustments.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171" w:lineRule="exact"/>
        <w:rPr>
          <w:sz w:val="20"/>
          <w:szCs w:val="20"/>
          <w:color w:val="auto"/>
        </w:rPr>
      </w:pPr>
    </w:p>
    <w:p>
      <w:pPr>
        <w:ind w:right="200" w:firstLine="309"/>
        <w:spacing w:after="0" w:line="270" w:lineRule="auto"/>
        <w:rPr>
          <w:sz w:val="20"/>
          <w:szCs w:val="20"/>
          <w:color w:val="auto"/>
        </w:rPr>
      </w:pPr>
      <w:r>
        <w:rPr>
          <w:rFonts w:ascii="Times New Roman" w:cs="Times New Roman" w:eastAsia="Times New Roman" w:hAnsi="Times New Roman"/>
          <w:sz w:val="17"/>
          <w:szCs w:val="17"/>
          <w:color w:val="auto"/>
        </w:rPr>
        <w:t>The Company operates as a single operating segment. The Company’s chief operating decision maker, or CODM, its Chief Executive Officer, reviews the Company’s forecast, as well as budget to actual financial information, as key inputs to making decisions on resource allocation and assessing the performance of the business. The CODM monitors budget versus actual results using income (loss) from operations and net income (loss).</w:t>
      </w:r>
    </w:p>
    <w:p>
      <w:pPr>
        <w:spacing w:after="0" w:line="114" w:lineRule="exact"/>
        <w:rPr>
          <w:sz w:val="20"/>
          <w:szCs w:val="20"/>
          <w:color w:val="auto"/>
        </w:rPr>
      </w:pPr>
    </w:p>
    <w:p>
      <w:pPr>
        <w:ind w:right="120" w:firstLine="309"/>
        <w:spacing w:after="0" w:line="264" w:lineRule="auto"/>
        <w:rPr>
          <w:sz w:val="20"/>
          <w:szCs w:val="20"/>
          <w:color w:val="auto"/>
        </w:rPr>
      </w:pPr>
      <w:r>
        <w:rPr>
          <w:rFonts w:ascii="Times New Roman" w:cs="Times New Roman" w:eastAsia="Times New Roman" w:hAnsi="Times New Roman"/>
          <w:sz w:val="17"/>
          <w:szCs w:val="17"/>
          <w:color w:val="auto"/>
        </w:rPr>
        <w:t>Significant expenses within income from operations, as well as within net income (loss), include cost of goods sold, research and development expenses, and selling, general and administrative expenses, which are each separately presented on the Company’s consolidated statements of operations. Other segment items within net income (loss) include interest expense, and interest and other income, net on an aggregate basis for the purposes of allocating resources and evaluating financial performance.</w:t>
      </w:r>
    </w:p>
    <w:p>
      <w:pPr>
        <w:spacing w:after="0" w:line="120" w:lineRule="exact"/>
        <w:rPr>
          <w:sz w:val="20"/>
          <w:szCs w:val="20"/>
          <w:color w:val="auto"/>
        </w:rPr>
      </w:pPr>
    </w:p>
    <w:p>
      <w:pPr>
        <w:ind w:right="1920" w:firstLine="309"/>
        <w:spacing w:after="0" w:line="443" w:lineRule="auto"/>
        <w:rPr>
          <w:sz w:val="20"/>
          <w:szCs w:val="20"/>
          <w:color w:val="auto"/>
        </w:rPr>
      </w:pPr>
      <w:r>
        <w:rPr>
          <w:rFonts w:ascii="Times New Roman" w:cs="Times New Roman" w:eastAsia="Times New Roman" w:hAnsi="Times New Roman"/>
          <w:sz w:val="17"/>
          <w:szCs w:val="17"/>
          <w:color w:val="auto"/>
        </w:rPr>
        <w:t xml:space="preserve">For the year ended December 31, 2025 and 2024, substantially all of the Company’s long-lived assets are held in the United States. </w:t>
      </w:r>
      <w:r>
        <w:rPr>
          <w:rFonts w:ascii="Times New Roman" w:cs="Times New Roman" w:eastAsia="Times New Roman" w:hAnsi="Times New Roman"/>
          <w:sz w:val="17"/>
          <w:szCs w:val="17"/>
          <w:b w:val="1"/>
          <w:bCs w:val="1"/>
          <w:i w:val="1"/>
          <w:iCs w:val="1"/>
          <w:color w:val="auto"/>
        </w:rPr>
        <w:t>Recently Adopted Accounting Pronouncements</w:t>
      </w:r>
    </w:p>
    <w:p>
      <w:pPr>
        <w:ind w:right="100" w:firstLine="309"/>
        <w:spacing w:after="0" w:line="261" w:lineRule="auto"/>
        <w:rPr>
          <w:sz w:val="20"/>
          <w:szCs w:val="20"/>
          <w:color w:val="auto"/>
        </w:rPr>
      </w:pPr>
      <w:r>
        <w:rPr>
          <w:rFonts w:ascii="Times New Roman" w:cs="Times New Roman" w:eastAsia="Times New Roman" w:hAnsi="Times New Roman"/>
          <w:sz w:val="17"/>
          <w:szCs w:val="17"/>
          <w:color w:val="auto"/>
        </w:rPr>
        <w:t>In December 2023, the Financial Accounting Standards Board, or FASB, issued Accounting Standards Update, or ASU,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all public entities for fiscal years beginning after December 15, 2024. The ASU should be applied either prospectively or retrospectively. The Company adopted the ASU prospectively and related updates in the year ending December 31, 2025. The adoption of this ASU did not have a material impact on its financial statement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71"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In January 2025, the FASB issued ASU 2025-01, Income Statement-Reporting Comprehensive Income-Expense Disaggregation Disclosures (Subtopic 220-40): Clarifying the Effective Date. The ASUs require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evaluating the impact this ASU will have on its financial statement disclosures.</w:t>
      </w:r>
    </w:p>
    <w:p>
      <w:pPr>
        <w:spacing w:after="0" w:line="122"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Instruments-Credit Losses (Topic 326): Measurement of Credit Losses for Accounts Receivable and Contract Assets. ASU 2025-05 provides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yet been issued or made available for issuance. The adoption of this ASU is not expected to have a material impact to the Company’s financial statements.</w:t>
      </w:r>
    </w:p>
    <w:p>
      <w:pPr>
        <w:spacing w:after="0" w:line="123" w:lineRule="exact"/>
        <w:rPr>
          <w:sz w:val="20"/>
          <w:szCs w:val="20"/>
          <w:color w:val="auto"/>
        </w:rPr>
      </w:pPr>
    </w:p>
    <w:p>
      <w:pPr>
        <w:jc w:val="both"/>
        <w:ind w:right="20" w:firstLine="309"/>
        <w:spacing w:after="0" w:line="270"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 Use Software (Subtopic 350-40): Targeted Improvements to the Accounting for Internal-Use Software. The ASU removes all references to prescriptive and sequential software development stages (referred to as “project stages”) and requires companies to start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7"/>
          <w:szCs w:val="17"/>
          <w:color w:val="auto"/>
        </w:rPr>
        <w:t>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 complete recognition threshold”). ASU 2025-06 is effective for fiscal years beginning after December 15, 2027, an interim reporting periods within those annual reporting periods. Early adoption is permitted. The adoption of this ASU is not expected to have a material impact to the Company’s financial statements.</w:t>
      </w:r>
    </w:p>
    <w:p>
      <w:pPr>
        <w:spacing w:after="0" w:line="11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Fair Value Measurements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assets and liabilities measured at fair value on a recurring basis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63"/>
        </w:trPr>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60"/>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20" w:type="dxa"/>
            <w:vAlign w:val="bottom"/>
          </w:tcPr>
          <w:p>
            <w:pPr>
              <w:spacing w:after="0"/>
              <w:rPr>
                <w:sz w:val="13"/>
                <w:szCs w:val="13"/>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60" w:type="dxa"/>
            <w:vAlign w:val="bottom"/>
          </w:tcPr>
          <w:p>
            <w:pPr>
              <w:spacing w:after="0"/>
              <w:rPr>
                <w:sz w:val="13"/>
                <w:szCs w:val="13"/>
                <w:color w:val="auto"/>
              </w:rPr>
            </w:pPr>
          </w:p>
        </w:tc>
        <w:tc>
          <w:tcPr>
            <w:tcW w:w="58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40" w:type="dxa"/>
            <w:vAlign w:val="bottom"/>
          </w:tcPr>
          <w:p>
            <w:pPr>
              <w:spacing w:after="0"/>
              <w:rPr>
                <w:sz w:val="13"/>
                <w:szCs w:val="13"/>
                <w:color w:val="auto"/>
              </w:rPr>
            </w:pPr>
          </w:p>
        </w:tc>
        <w:tc>
          <w:tcPr>
            <w:tcW w:w="58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2"/>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161"/>
        </w:trPr>
        <w:tc>
          <w:tcPr>
            <w:tcW w:w="48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Cash</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11,417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82"/>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11,417</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82"/>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10,961</w:t>
            </w:r>
          </w:p>
        </w:tc>
      </w:tr>
      <w:tr>
        <w:trPr>
          <w:trHeight w:val="174"/>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equivalents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275,086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275,086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322,764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322,764</w:t>
            </w:r>
          </w:p>
        </w:tc>
      </w:tr>
      <w:tr>
        <w:trPr>
          <w:trHeight w:val="160"/>
        </w:trPr>
        <w:tc>
          <w:tcPr>
            <w:tcW w:w="48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cash and cash equivalents</w:t>
            </w: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286,503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286,503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333,725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333,725</w:t>
            </w: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The carrying amounts of the Company’s cash, accounts receivable, accounts payable, and loan facility derivative liability approximate their fair values due to their short maturities. The carrying value of the Company’s long-term debt approximates fair value as the debt bears interest at variable SOFR rates at December 31, 2025 and 2024, which is observable at commonly quoted intervals for the full term of the loan, and therefore, is considered a Level 2 item in the fair value hierarchy.</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transfers in and out of Level 3 during the years ended December 31, 2025 and 2024.</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Loan facility derivative liability</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a summary of the changes in the Company’s loan facility derivative liability,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r>
      <w:tr>
        <w:trPr>
          <w:trHeight w:val="22"/>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1"/>
        </w:trPr>
        <w:tc>
          <w:tcPr>
            <w:tcW w:w="5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of the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w:t>
            </w:r>
          </w:p>
        </w:tc>
      </w:tr>
      <w:tr>
        <w:trPr>
          <w:trHeight w:val="21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2"/>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 of the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fair value of the loan facility derivative liability as of December 31, 2024 was determined using a discounted cash flow calculation discounted at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Composition of Certain Consolidated Financial Statement Items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40" w:type="dxa"/>
            <w:vAlign w:val="bottom"/>
            <w:tcBorders>
              <w:bottom w:val="single" w:sz="8" w:color="CCEEFF"/>
            </w:tcBorders>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3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changes during the period</w:t>
            </w:r>
          </w:p>
        </w:tc>
        <w:tc>
          <w:tcPr>
            <w:tcW w:w="3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3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(in thousands):</w:t>
            </w:r>
          </w:p>
        </w:tc>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4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40" w:type="dxa"/>
            <w:vAlign w:val="bottom"/>
            <w:tcBorders>
              <w:bottom w:val="single" w:sz="8" w:color="CCEEFF"/>
            </w:tcBorders>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18,189</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Work-in-process</w:t>
            </w: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11,452</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38,630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26,527</w:t>
            </w:r>
          </w:p>
        </w:tc>
        <w:tc>
          <w:tcPr>
            <w:tcW w:w="0" w:type="dxa"/>
            <w:vAlign w:val="bottom"/>
          </w:tcPr>
          <w:p>
            <w:pPr>
              <w:spacing w:after="0"/>
              <w:rPr>
                <w:sz w:val="1"/>
                <w:szCs w:val="1"/>
                <w:color w:val="auto"/>
              </w:rPr>
            </w:pPr>
          </w:p>
        </w:tc>
      </w:tr>
      <w:tr>
        <w:trPr>
          <w:trHeight w:val="212"/>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inventory</w:t>
            </w:r>
          </w:p>
        </w:tc>
        <w:tc>
          <w:tcPr>
            <w:tcW w:w="314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70,694</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56,168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 (in thousands):</w:t>
            </w:r>
          </w:p>
        </w:tc>
        <w:tc>
          <w:tcPr>
            <w:tcW w:w="3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04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40" w:type="dxa"/>
            <w:vAlign w:val="bottom"/>
            <w:tcBorders>
              <w:bottom w:val="single" w:sz="8" w:color="CCEEFF"/>
            </w:tcBorders>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Manufacturing and computer equipment, and furniture and fixtures</w:t>
            </w:r>
          </w:p>
        </w:tc>
        <w:tc>
          <w:tcPr>
            <w:tcW w:w="3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19,683</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equipment</w:t>
            </w:r>
          </w:p>
        </w:tc>
        <w:tc>
          <w:tcPr>
            <w:tcW w:w="3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12"/>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(7,830)</w:t>
            </w:r>
          </w:p>
        </w:tc>
        <w:tc>
          <w:tcPr>
            <w:tcW w:w="0" w:type="dxa"/>
            <w:vAlign w:val="bottom"/>
          </w:tcPr>
          <w:p>
            <w:pPr>
              <w:spacing w:after="0"/>
              <w:rPr>
                <w:sz w:val="1"/>
                <w:szCs w:val="1"/>
                <w:color w:val="auto"/>
              </w:rPr>
            </w:pPr>
          </w:p>
        </w:tc>
      </w:tr>
      <w:tr>
        <w:trPr>
          <w:trHeight w:val="21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314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30,399</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26,709</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Commission Costs (in thousands):</w:t>
            </w:r>
          </w:p>
        </w:tc>
        <w:tc>
          <w:tcPr>
            <w:tcW w:w="3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504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40" w:type="dxa"/>
            <w:vAlign w:val="bottom"/>
            <w:tcBorders>
              <w:bottom w:val="single" w:sz="8" w:color="CCEEFF"/>
            </w:tcBorders>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Reported as:</w:t>
            </w:r>
          </w:p>
        </w:tc>
        <w:tc>
          <w:tcPr>
            <w:tcW w:w="3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50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500" w:type="dxa"/>
            <w:vAlign w:val="bottom"/>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0" w:type="dxa"/>
            <w:vAlign w:val="bottom"/>
          </w:tcPr>
          <w:p>
            <w:pPr>
              <w:spacing w:after="0"/>
              <w:rPr>
                <w:sz w:val="1"/>
                <w:szCs w:val="1"/>
                <w:color w:val="auto"/>
              </w:rPr>
            </w:pPr>
          </w:p>
        </w:tc>
      </w:tr>
      <w:tr>
        <w:trPr>
          <w:trHeight w:val="1019"/>
        </w:trPr>
        <w:tc>
          <w:tcPr>
            <w:tcW w:w="5040" w:type="dxa"/>
            <w:vAlign w:val="bottom"/>
          </w:tcPr>
          <w:p>
            <w:pPr>
              <w:spacing w:after="0"/>
              <w:rPr>
                <w:sz w:val="24"/>
                <w:szCs w:val="24"/>
                <w:color w:val="auto"/>
              </w:rPr>
            </w:pPr>
          </w:p>
        </w:tc>
        <w:tc>
          <w:tcPr>
            <w:tcW w:w="3500" w:type="dxa"/>
            <w:vAlign w:val="bottom"/>
            <w:gridSpan w:val="3"/>
          </w:tcPr>
          <w:p>
            <w:pPr>
              <w:jc w:val="right"/>
              <w:ind w:right="2674"/>
              <w:spacing w:after="0"/>
              <w:rPr>
                <w:sz w:val="20"/>
                <w:szCs w:val="20"/>
                <w:color w:val="auto"/>
              </w:rPr>
            </w:pPr>
            <w:r>
              <w:rPr>
                <w:rFonts w:ascii="Times New Roman" w:cs="Times New Roman" w:eastAsia="Times New Roman" w:hAnsi="Times New Roman"/>
                <w:sz w:val="17"/>
                <w:szCs w:val="17"/>
                <w:color w:val="auto"/>
              </w:rPr>
              <w:t>F-16</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Current Liabilities (in thousands):</w:t>
      </w:r>
    </w:p>
    <w:p>
      <w:pPr>
        <w:spacing w:after="0" w:line="20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27940</wp:posOffset>
            </wp:positionV>
            <wp:extent cx="19399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25" w:lineRule="exact"/>
        <w:rPr>
          <w:sz w:val="20"/>
          <w:szCs w:val="20"/>
          <w:color w:val="auto"/>
        </w:rPr>
      </w:pPr>
    </w:p>
    <w:p>
      <w:pPr>
        <w:jc w:val="both"/>
        <w:ind w:left="880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278"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Accrued purchases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Professional services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Sales tax</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Interest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Travel expenses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Accrued rebates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Clinical trial expenses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Total other current liabilities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(Expense), net (in thousands):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9"/>
        </w:trPr>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w:t>
            </w:r>
          </w:p>
        </w:tc>
      </w:tr>
      <w:tr>
        <w:trPr>
          <w:trHeight w:val="219"/>
        </w:trPr>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r>
      <w:tr>
        <w:trPr>
          <w:trHeight w:val="219"/>
        </w:trPr>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19"/>
        </w:trPr>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w:t>
            </w:r>
          </w:p>
        </w:tc>
      </w:tr>
      <w:tr>
        <w:trPr>
          <w:trHeight w:val="219"/>
        </w:trPr>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r>
      <w:tr>
        <w:trPr>
          <w:trHeight w:val="219"/>
        </w:trPr>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w:t>
            </w:r>
          </w:p>
        </w:tc>
      </w:tr>
      <w:tr>
        <w:trPr>
          <w:trHeight w:val="223"/>
        </w:trPr>
        <w:tc>
          <w:tcPr>
            <w:tcW w:w="1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1,032</w:t>
            </w:r>
          </w:p>
        </w:tc>
      </w:tr>
      <w:tr>
        <w:trPr>
          <w:trHeight w:val="212"/>
        </w:trPr>
        <w:tc>
          <w:tcPr>
            <w:tcW w:w="156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8,089</w:t>
            </w:r>
          </w:p>
        </w:tc>
      </w:tr>
      <w:tr>
        <w:trPr>
          <w:trHeight w:val="20"/>
        </w:trPr>
        <w:tc>
          <w:tcPr>
            <w:tcW w:w="15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94"/>
        </w:trPr>
        <w:tc>
          <w:tcPr>
            <w:tcW w:w="3140" w:type="dxa"/>
            <w:vAlign w:val="bottom"/>
            <w:gridSpan w:val="4"/>
          </w:tcPr>
          <w:p>
            <w:pPr>
              <w:ind w:left="1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
        </w:trPr>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5"/>
        </w:trPr>
        <w:tc>
          <w:tcPr>
            <w:tcW w:w="156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-1940560</wp:posOffset>
            </wp:positionV>
            <wp:extent cx="7138670" cy="1390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-1662430</wp:posOffset>
            </wp:positionV>
            <wp:extent cx="7138670" cy="1390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-1384300</wp:posOffset>
            </wp:positionV>
            <wp:extent cx="7138670" cy="1390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-1105535</wp:posOffset>
            </wp:positionV>
            <wp:extent cx="7138670" cy="139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-827405</wp:posOffset>
            </wp:positionV>
            <wp:extent cx="7138670" cy="163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00" w:space="720"/>
            <w:col w:w="4620"/>
          </w:cols>
          <w:pgMar w:left="320" w:top="27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10,895</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loan facility derivative liability</w:t>
            </w:r>
          </w:p>
        </w:tc>
        <w:tc>
          <w:tcPr>
            <w:tcW w:w="5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2"/>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interest and other income, net</w:t>
            </w: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12,063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9,753</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7,348</w:t>
            </w:r>
          </w:p>
        </w:tc>
      </w:tr>
      <w:tr>
        <w:trPr>
          <w:trHeight w:val="20"/>
        </w:trPr>
        <w:tc>
          <w:tcPr>
            <w:tcW w:w="6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Intangible Assets</w:t>
      </w:r>
    </w:p>
    <w:p>
      <w:pPr>
        <w:spacing w:after="0" w:line="169" w:lineRule="exact"/>
        <w:rPr>
          <w:sz w:val="20"/>
          <w:szCs w:val="20"/>
          <w:color w:val="auto"/>
        </w:rPr>
      </w:pPr>
    </w:p>
    <w:p>
      <w:pPr>
        <w:ind w:right="40" w:firstLine="309"/>
        <w:spacing w:after="0" w:line="257" w:lineRule="auto"/>
        <w:rPr>
          <w:sz w:val="20"/>
          <w:szCs w:val="20"/>
          <w:color w:val="auto"/>
        </w:rPr>
      </w:pPr>
      <w:r>
        <w:rPr>
          <w:rFonts w:ascii="Times New Roman" w:cs="Times New Roman" w:eastAsia="Times New Roman" w:hAnsi="Times New Roman"/>
          <w:sz w:val="17"/>
          <w:szCs w:val="17"/>
          <w:color w:val="auto"/>
        </w:rPr>
        <w:t>In March 2019, the Company entered into a license agreement with HydroCision, Inc. This agreement grants the Company an exclusive, perpetual, irrevocable, worldwide, fully paid-up license to develop, manufacture and commercialize products in the field of urology using the patented technology and know-how controlled by HydroCision as of the effective date and as well as new patented technology developed by HydroCision that cover certain activities and improvements that relate to the use of fluid jet technology in connection with the licensed products during the period commencing on the effective date and ending on the earlier of the date that the Company ceases to use HydroCision’s existing contract manufacturers and the third anniversary of the effective date. Also included is the right to utilize HydroCision’s contract manufacturers, if desired. The consideration paid was a one-time upfront payment of $2.5 million, as well as allowing HydroCision (a reciprocal license) to use any new patented technology and know-how developed by the Company relating to the HydroCision patented technology and know-how in the field of urology for HydroCision use outside the field of urology. HydroCision will pay for any patent maintenance fees on HydroCision’s licensed patents. As of December 31, 2025 and 2024, accumulated amortization was $1.8 million and $1.6 million, respectively, and the net carrying amount is expected to be amortized at a rate of $0.3 million per year until fully amortized.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Amortization expense for intangible assets for each of the years ended December 31, 2025, 2024, and 2023 was $0.3 million.</w:t>
      </w:r>
    </w:p>
    <w:p>
      <w:pPr>
        <w:spacing w:after="0" w:line="16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Long-Term Debt</w:t>
      </w:r>
    </w:p>
    <w:p>
      <w:pPr>
        <w:spacing w:after="0" w:line="169" w:lineRule="exact"/>
        <w:rPr>
          <w:sz w:val="20"/>
          <w:szCs w:val="20"/>
          <w:color w:val="auto"/>
        </w:rPr>
      </w:pPr>
    </w:p>
    <w:p>
      <w:pPr>
        <w:jc w:val="both"/>
        <w:ind w:right="260" w:firstLine="309"/>
        <w:spacing w:after="0" w:line="270" w:lineRule="auto"/>
        <w:rPr>
          <w:sz w:val="20"/>
          <w:szCs w:val="20"/>
          <w:color w:val="auto"/>
        </w:rPr>
      </w:pPr>
      <w:r>
        <w:rPr>
          <w:rFonts w:ascii="Times New Roman" w:cs="Times New Roman" w:eastAsia="Times New Roman" w:hAnsi="Times New Roman"/>
          <w:sz w:val="17"/>
          <w:szCs w:val="17"/>
          <w:color w:val="auto"/>
        </w:rPr>
        <w:t>In October 2022, the Company entered into a loan and security agreement (as amended, “the Agreement”) with Canadian Imperial Bank of Commerce, or CIBC. The Agreement provides for a senior secured term loan facility in the aggregate principal amount of $52.0 million (the "Term Loan Facility") which was borrowed in full.</w:t>
      </w:r>
    </w:p>
    <w:p>
      <w:pPr>
        <w:spacing w:after="0" w:line="114" w:lineRule="exact"/>
        <w:rPr>
          <w:sz w:val="20"/>
          <w:szCs w:val="20"/>
          <w:color w:val="auto"/>
        </w:rPr>
      </w:pPr>
    </w:p>
    <w:p>
      <w:pPr>
        <w:ind w:right="220" w:firstLine="309"/>
        <w:spacing w:after="0" w:line="287" w:lineRule="auto"/>
        <w:rPr>
          <w:sz w:val="20"/>
          <w:szCs w:val="20"/>
          <w:color w:val="auto"/>
        </w:rPr>
      </w:pPr>
      <w:r>
        <w:rPr>
          <w:rFonts w:ascii="Times New Roman" w:cs="Times New Roman" w:eastAsia="Times New Roman" w:hAnsi="Times New Roman"/>
          <w:sz w:val="17"/>
          <w:szCs w:val="17"/>
          <w:color w:val="auto"/>
        </w:rPr>
        <w:t>The Term Loan Facility is scheduled to mature on the fifth anniversary of the closing date (the "Maturity Date"). The Company has the option to prepay the Term Loan Facility without any prepayment charge or fee.</w:t>
      </w:r>
    </w:p>
    <w:p>
      <w:pPr>
        <w:spacing w:after="0" w:line="100" w:lineRule="exact"/>
        <w:rPr>
          <w:sz w:val="20"/>
          <w:szCs w:val="20"/>
          <w:color w:val="auto"/>
        </w:rPr>
      </w:pPr>
    </w:p>
    <w:p>
      <w:pPr>
        <w:jc w:val="both"/>
        <w:ind w:right="160" w:firstLine="309"/>
        <w:spacing w:after="0" w:line="270" w:lineRule="auto"/>
        <w:rPr>
          <w:sz w:val="20"/>
          <w:szCs w:val="20"/>
          <w:color w:val="auto"/>
        </w:rPr>
      </w:pPr>
      <w:r>
        <w:rPr>
          <w:rFonts w:ascii="Times New Roman" w:cs="Times New Roman" w:eastAsia="Times New Roman" w:hAnsi="Times New Roman"/>
          <w:sz w:val="17"/>
          <w:szCs w:val="17"/>
          <w:color w:val="auto"/>
        </w:rPr>
        <w:t>The loan borrowed under the Term Loan Facility bears interest at an annual rate equal to the secured overnight financing rate ("SOFR") (calculated based on an adjustment of .10%, .15% and .25%, respectively, for one-month, three-month or six-month term SOFR as of a specified date, subject to a floor of 1.5%) plus an applicable margin of 2.25%.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interest rate for the periods ending December 31, 2025, 2024, and 2023 were 6.62%, 7.60%, and 7.32%, respectively.</w:t>
      </w:r>
    </w:p>
    <w:p>
      <w:pPr>
        <w:spacing w:after="0" w:line="165" w:lineRule="exact"/>
        <w:rPr>
          <w:sz w:val="20"/>
          <w:szCs w:val="20"/>
          <w:color w:val="auto"/>
        </w:rPr>
      </w:pPr>
    </w:p>
    <w:p>
      <w:pPr>
        <w:ind w:right="200" w:firstLine="309"/>
        <w:spacing w:after="0" w:line="270" w:lineRule="auto"/>
        <w:rPr>
          <w:sz w:val="20"/>
          <w:szCs w:val="20"/>
          <w:color w:val="auto"/>
        </w:rPr>
      </w:pPr>
      <w:r>
        <w:rPr>
          <w:rFonts w:ascii="Times New Roman" w:cs="Times New Roman" w:eastAsia="Times New Roman" w:hAnsi="Times New Roman"/>
          <w:sz w:val="17"/>
          <w:szCs w:val="17"/>
          <w:color w:val="auto"/>
        </w:rPr>
        <w:t>The obligations under the Loan Agreement are secured by substantially all of the Company's assets, including its intellectual property and by a pledge all of the Company's equity interests in its U.S. subsidiaries and 65% of the Company's equity interests in its non-U.S. subsidiaries that are directly owned by the Company.</w:t>
      </w:r>
    </w:p>
    <w:p>
      <w:pPr>
        <w:spacing w:after="0" w:line="114"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In August 2025, the Company entered into a second amendment to the Agreement (the “Second Amendment”), which, among other things, modified the repayment terms such that the entire principal amount outstanding is now due on the Maturity Date, replacing the prior repayment schedule of interest-only payments followed by monthly principal amortization payments. Additionally, the Second Amendment modified the Company’s minimum cash holdings requirement at CIBC as follows: (a) if the Company’s cash and cash equivalents is less than $50.0 million, then the Company is required to maintain 100% of its cash and cash equivalents at CIBC; or (b) if the Company’s cash and cash equivalents is greater than or equal to $50.0 million, then the Company is required to maintain the greater of $50.0 million or 50% of its cash and cash equivalents at CIBC, with amounts exceeding $50.0 million permitted to be held outside of CIBC in collateral accounts managed by CIBC.</w:t>
      </w:r>
    </w:p>
    <w:p>
      <w:pPr>
        <w:spacing w:after="0" w:line="128"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Under the Agreement, if the Company maintains less than $100.0 million in available cash, then the Company is required to meet either one of two financial covenants: a minimum unrestricted cash covenant or a minimum revenue and growth covenant. If the Company maintains at least $100.0 million in available cash, then it is not required to meet such financial covenants. As of December 31, 2025, the Company was in compliance with all debt covenants.</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Future minimum annual debt repayments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5"/>
                <w:szCs w:val="15"/>
                <w:color w:val="auto"/>
              </w:rPr>
            </w:pPr>
          </w:p>
        </w:tc>
        <w:tc>
          <w:tcPr>
            <w:tcW w:w="11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9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2"/>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52,000</w:t>
            </w:r>
          </w:p>
        </w:tc>
      </w:tr>
      <w:tr>
        <w:trPr>
          <w:trHeight w:val="212"/>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52,000</w:t>
            </w:r>
          </w:p>
        </w:tc>
      </w:tr>
      <w:tr>
        <w:trPr>
          <w:trHeight w:val="219"/>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amount representing unamortized debt discount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37"/>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future payments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51,615</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Leases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Facility Leases</w:t>
      </w:r>
    </w:p>
    <w:p>
      <w:pPr>
        <w:spacing w:after="0" w:line="171" w:lineRule="exact"/>
        <w:rPr>
          <w:sz w:val="20"/>
          <w:szCs w:val="20"/>
          <w:color w:val="auto"/>
        </w:rPr>
      </w:pPr>
    </w:p>
    <w:p>
      <w:pPr>
        <w:ind w:right="100" w:firstLine="309"/>
        <w:spacing w:after="0" w:line="287" w:lineRule="auto"/>
        <w:rPr>
          <w:sz w:val="20"/>
          <w:szCs w:val="20"/>
          <w:color w:val="auto"/>
        </w:rPr>
      </w:pPr>
      <w:r>
        <w:rPr>
          <w:rFonts w:ascii="Times New Roman" w:cs="Times New Roman" w:eastAsia="Times New Roman" w:hAnsi="Times New Roman"/>
          <w:sz w:val="17"/>
          <w:szCs w:val="17"/>
          <w:color w:val="auto"/>
        </w:rPr>
        <w:t>In December 2021, the Company entered into a lease for two existing buildings, comprising approximately 158,221 square feet of space, located in San Jose, California. The lease commenced in July 2022, and will continue for 122 months following thereafter, with two five year options to extend the term of the lease.</w:t>
      </w:r>
    </w:p>
    <w:p>
      <w:pPr>
        <w:spacing w:after="0" w:line="100"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The Company began operations at this facility in September 2023. The lease provides for annual base rent of $4.3 million for the first year, which increases on a yearly basis up to $5.6 million for the tenth year, for an aggregate of $49.2 million. Under the terms of the lease, the Company received an allowance of up to $7.9 million from the landlord to be applied to the Company’s construction of tenant improvements following the landlord’s delivery of the two buildings to the Company. During the year ended December 31, 2022, the Company recorded both a right-of-use asset and liability of $22.7 million related to the lease. The lease agreement provides for an escalation of rent payments each year and the Company records rent expense on a straight-line basis over the term of the lease. Rent is payable monthly. Rent expense recognized under the leases, includes additional rent charges for utilities, parking, maintenance and real estate taxes.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supplemental lease information (in thousands, except for weighted-average amounts):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expense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4,531</w:t>
            </w:r>
          </w:p>
        </w:tc>
        <w:tc>
          <w:tcPr>
            <w:tcW w:w="4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5,284</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7,118</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1,804</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lease expense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7,088</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8,400</w:t>
            </w:r>
          </w:p>
        </w:tc>
        <w:tc>
          <w:tcPr>
            <w:tcW w:w="40" w:type="dxa"/>
            <w:vAlign w:val="bottom"/>
            <w:tcBorders>
              <w:left w:val="single" w:sz="8" w:color="CCEEFF"/>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operating lease liabilities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4,297</w:t>
            </w:r>
          </w:p>
        </w:tc>
        <w:tc>
          <w:tcPr>
            <w:tcW w:w="4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4,172</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5,610</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lease term</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7"/>
                <w:szCs w:val="17"/>
                <w:color w:val="auto"/>
              </w:rPr>
              <w:t>7.2 years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7"/>
                <w:szCs w:val="17"/>
                <w:color w:val="auto"/>
              </w:rPr>
              <w:t>8.2 years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9.2 years</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260" w:type="dxa"/>
            <w:vAlign w:val="bottom"/>
          </w:tcPr>
          <w:p>
            <w:pPr>
              <w:spacing w:after="0"/>
              <w:rPr>
                <w:sz w:val="19"/>
                <w:szCs w:val="19"/>
                <w:color w:val="auto"/>
              </w:rPr>
            </w:pPr>
          </w:p>
        </w:tc>
        <w:tc>
          <w:tcPr>
            <w:tcW w:w="122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8.6%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rPr>
              <w:t>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4"/>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Future minimum annual operating lease payments are as follows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amount representing interest/tenant improvement allowance</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future payments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5"/>
            <w:vMerge w:val="restart"/>
          </w:tcPr>
          <w:p>
            <w:pPr>
              <w:ind w:left="320"/>
              <w:spacing w:after="0"/>
              <w:rPr>
                <w:sz w:val="20"/>
                <w:szCs w:val="20"/>
                <w:color w:val="auto"/>
              </w:rPr>
            </w:pPr>
            <w:r>
              <w:rPr>
                <w:rFonts w:ascii="Times New Roman" w:cs="Times New Roman" w:eastAsia="Times New Roman" w:hAnsi="Times New Roman"/>
                <w:sz w:val="17"/>
                <w:szCs w:val="17"/>
                <w:color w:val="auto"/>
              </w:rPr>
              <w:t>As of December 31, 2025 and 2024, the Company’s security deposit is in the form of, and recorded as, restricted cash.</w:t>
            </w: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520" w:type="dxa"/>
            <w:vAlign w:val="bottom"/>
            <w:gridSpan w:val="5"/>
            <w:vMerge w:val="continue"/>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6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Lessor Information for Robotic Systems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10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Contractual maturities of gross lease receivables as of December 31, 2025 are as follows (in thousands):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 and thereafter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Leases receivable relating to sales-type lease arrangements are presented on the Company’s consolidated balance sheets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
        </w:trPr>
        <w:tc>
          <w:tcPr>
            <w:tcW w:w="394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1"/>
        </w:trPr>
        <w:tc>
          <w:tcPr>
            <w:tcW w:w="39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tcPr>
          <w:p>
            <w:pPr>
              <w:spacing w:after="0"/>
              <w:rPr>
                <w:sz w:val="15"/>
                <w:szCs w:val="15"/>
                <w:color w:val="auto"/>
              </w:rPr>
            </w:pPr>
          </w:p>
        </w:tc>
      </w:tr>
      <w:tr>
        <w:trPr>
          <w:trHeight w:val="20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Reported as:</w:t>
            </w:r>
          </w:p>
        </w:tc>
        <w:tc>
          <w:tcPr>
            <w:tcW w:w="3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80" w:type="dxa"/>
            <w:vAlign w:val="bottom"/>
          </w:tcPr>
          <w:p>
            <w:pPr>
              <w:spacing w:after="0"/>
              <w:rPr>
                <w:sz w:val="17"/>
                <w:szCs w:val="17"/>
                <w:color w:val="auto"/>
              </w:rPr>
            </w:pP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3980" w:type="dxa"/>
            <w:vAlign w:val="bottom"/>
            <w:gridSpan w:val="3"/>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480" w:type="dxa"/>
            <w:vAlign w:val="bottom"/>
          </w:tcPr>
          <w:p>
            <w:pPr>
              <w:spacing w:after="0"/>
              <w:rPr>
                <w:sz w:val="19"/>
                <w:szCs w:val="19"/>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3,896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1480" w:type="dxa"/>
            <w:vAlign w:val="bottom"/>
          </w:tcPr>
          <w:p>
            <w:pPr>
              <w:spacing w:after="0"/>
              <w:rPr>
                <w:sz w:val="19"/>
                <w:szCs w:val="19"/>
                <w:color w:val="auto"/>
              </w:rPr>
            </w:pPr>
          </w:p>
        </w:tc>
      </w:tr>
      <w:tr>
        <w:trPr>
          <w:trHeight w:val="21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investment in sales-type leases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4,801</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1,671</w:t>
            </w:r>
          </w:p>
        </w:tc>
        <w:tc>
          <w:tcPr>
            <w:tcW w:w="148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856"/>
        </w:trPr>
        <w:tc>
          <w:tcPr>
            <w:tcW w:w="3940" w:type="dxa"/>
            <w:vAlign w:val="bottom"/>
          </w:tcPr>
          <w:p>
            <w:pPr>
              <w:spacing w:after="0"/>
              <w:rPr>
                <w:sz w:val="24"/>
                <w:szCs w:val="24"/>
                <w:color w:val="auto"/>
              </w:rPr>
            </w:pPr>
          </w:p>
        </w:tc>
        <w:tc>
          <w:tcPr>
            <w:tcW w:w="3980" w:type="dxa"/>
            <w:vAlign w:val="bottom"/>
            <w:gridSpan w:val="3"/>
          </w:tcPr>
          <w:p>
            <w:pPr>
              <w:jc w:val="right"/>
              <w:ind w:right="2054"/>
              <w:spacing w:after="0"/>
              <w:rPr>
                <w:sz w:val="20"/>
                <w:szCs w:val="20"/>
                <w:color w:val="auto"/>
              </w:rPr>
            </w:pPr>
            <w:r>
              <w:rPr>
                <w:rFonts w:ascii="Times New Roman" w:cs="Times New Roman" w:eastAsia="Times New Roman" w:hAnsi="Times New Roman"/>
                <w:sz w:val="17"/>
                <w:szCs w:val="17"/>
                <w:color w:val="auto"/>
              </w:rPr>
              <w:t>F-19</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8"/>
        </w:trPr>
        <w:tc>
          <w:tcPr>
            <w:tcW w:w="394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receivables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center"/>
              <w:ind w:left="161"/>
              <w:spacing w:after="0"/>
              <w:rPr>
                <w:sz w:val="20"/>
                <w:szCs w:val="20"/>
                <w:color w:val="auto"/>
              </w:rPr>
            </w:pPr>
            <w:r>
              <w:rPr>
                <w:rFonts w:ascii="Times New Roman" w:cs="Times New Roman" w:eastAsia="Times New Roman" w:hAnsi="Times New Roman"/>
                <w:sz w:val="17"/>
                <w:szCs w:val="17"/>
                <w:color w:val="auto"/>
                <w:w w:val="99"/>
              </w:rPr>
              <w:t>5,829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Unearned interest income</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21"/>
              <w:spacing w:after="0"/>
              <w:rPr>
                <w:sz w:val="20"/>
                <w:szCs w:val="20"/>
                <w:color w:val="auto"/>
              </w:rPr>
            </w:pPr>
            <w:r>
              <w:rPr>
                <w:rFonts w:ascii="Times New Roman" w:cs="Times New Roman" w:eastAsia="Times New Roman" w:hAnsi="Times New Roman"/>
                <w:sz w:val="17"/>
                <w:szCs w:val="17"/>
                <w:color w:val="auto"/>
              </w:rPr>
              <w:t>(1,028)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investment in sales-type leases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center"/>
              <w:ind w:left="161"/>
              <w:spacing w:after="0"/>
              <w:rPr>
                <w:sz w:val="20"/>
                <w:szCs w:val="20"/>
                <w:color w:val="auto"/>
              </w:rPr>
            </w:pPr>
            <w:r>
              <w:rPr>
                <w:rFonts w:ascii="Times New Roman" w:cs="Times New Roman" w:eastAsia="Times New Roman" w:hAnsi="Times New Roman"/>
                <w:sz w:val="17"/>
                <w:szCs w:val="17"/>
                <w:color w:val="auto"/>
                <w:w w:val="99"/>
              </w:rPr>
              <w:t>4,801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w:t>
            </w: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The components of income from sales-type leases are as follows: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3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Sales-type lease revenue</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1,357</w:t>
            </w:r>
          </w:p>
        </w:tc>
        <w:tc>
          <w:tcPr>
            <w:tcW w:w="4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0" w:type="dxa"/>
            <w:vAlign w:val="bottom"/>
          </w:tcPr>
          <w:p>
            <w:pPr>
              <w:spacing w:after="0"/>
              <w:rPr>
                <w:sz w:val="1"/>
                <w:szCs w:val="1"/>
                <w:color w:val="auto"/>
              </w:rPr>
            </w:pPr>
          </w:p>
        </w:tc>
      </w:tr>
      <w:tr>
        <w:trPr>
          <w:trHeight w:val="22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19"/>
                <w:szCs w:val="19"/>
                <w:color w:val="auto"/>
              </w:rPr>
            </w:pPr>
          </w:p>
        </w:tc>
        <w:tc>
          <w:tcPr>
            <w:tcW w:w="740" w:type="dxa"/>
            <w:vAlign w:val="bottom"/>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540" w:type="dxa"/>
            <w:vAlign w:val="bottom"/>
            <w:gridSpan w:val="2"/>
          </w:tcPr>
          <w:p>
            <w:pPr>
              <w:jc w:val="right"/>
              <w:ind w:right="26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28</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Stock-Based Compensation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Award Plan</w:t>
      </w:r>
    </w:p>
    <w:p>
      <w:pPr>
        <w:spacing w:after="0" w:line="171" w:lineRule="exact"/>
        <w:rPr>
          <w:sz w:val="20"/>
          <w:szCs w:val="20"/>
          <w:color w:val="auto"/>
        </w:rPr>
      </w:pPr>
    </w:p>
    <w:p>
      <w:pPr>
        <w:ind w:firstLine="309"/>
        <w:spacing w:after="0" w:line="263" w:lineRule="auto"/>
        <w:rPr>
          <w:sz w:val="20"/>
          <w:szCs w:val="20"/>
          <w:color w:val="auto"/>
        </w:rPr>
      </w:pPr>
      <w:r>
        <w:rPr>
          <w:rFonts w:ascii="Times New Roman" w:cs="Times New Roman" w:eastAsia="Times New Roman" w:hAnsi="Times New Roman"/>
          <w:sz w:val="17"/>
          <w:szCs w:val="17"/>
          <w:color w:val="auto"/>
        </w:rPr>
        <w:t>In September 2021, the Company adopted the 2021 Equity Incentive Award Plan (the “2021 Plan”), which allows for the granting of stock options and stock purchase rights to the employees, members of the board of directors, and consultants of the Company. A total of 13,002,624 shares of common stock were reserved for issuance under the 2021 Plan. Options granted under the 2021 Plan may be either incentive stock options (“ISOs”) or nonqualified stock options (“NSOs”). ISOs may be granted only to the Company’s employees, including officers and directors who are also employees. NSOs may be granted to employees and consultants.</w:t>
      </w:r>
    </w:p>
    <w:p>
      <w:pPr>
        <w:spacing w:after="0" w:line="329" w:lineRule="exact"/>
        <w:rPr>
          <w:sz w:val="20"/>
          <w:szCs w:val="20"/>
          <w:color w:val="auto"/>
        </w:rPr>
      </w:pPr>
    </w:p>
    <w:p>
      <w:pPr>
        <w:jc w:val="both"/>
        <w:ind w:right="80" w:firstLine="309"/>
        <w:spacing w:after="0" w:line="270" w:lineRule="auto"/>
        <w:rPr>
          <w:sz w:val="20"/>
          <w:szCs w:val="20"/>
          <w:color w:val="auto"/>
        </w:rPr>
      </w:pPr>
      <w:r>
        <w:rPr>
          <w:rFonts w:ascii="Times New Roman" w:cs="Times New Roman" w:eastAsia="Times New Roman" w:hAnsi="Times New Roman"/>
          <w:sz w:val="17"/>
          <w:szCs w:val="17"/>
          <w:color w:val="auto"/>
        </w:rPr>
        <w:t>Options under the 2021 Plan may be granted for periods of up to 10 years and at prices no less than 100% of the estimated fair value of the shares on the date of grant as determined by the board of directors, provided, however, that the exercise price of an ISO and NSO granted to a 10% shareholder shall not be less than 110% of the estimated fair value of the shares on the date of grant.</w:t>
      </w:r>
    </w:p>
    <w:p>
      <w:pPr>
        <w:spacing w:after="0" w:line="11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Granted options for newly hired employees usually vest over four years monthly with a one-year cliff vesting, and follow-on options vest monthly over four years with no cliff vesting. Options granted to consultants have various vesting schedules depending on the underlying consulting arrangement and anticipated period of service. Granted RSUs usually vest over four years quarterly with a one-year cliff vesting. PSUs are awarded to executives of the Company and generally time vest over a period of up to three years. Vesting of PSUs is generally contingent upon achievement of applicable performance metrics. As of December 31, 2025, there were 5.2 million shares available for grant and 3.6 million awards outstanding under the 2021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2008 Stock Plan</w:t>
      </w:r>
    </w:p>
    <w:p>
      <w:pPr>
        <w:spacing w:after="0" w:line="171"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The Company ceased making awards under the 2008 Stock Plan upon the effective date of the Company’s IPO. In 2008, the Company adopted the 2008 Stock Plan (the “2008 Plan”), which allows for the granting of stock options and stock purchase rights to the employees, members of the board of directors, and consultants of the Company. Options granted under the 2008 Plan may be either incentive stock options (“ISOs”) or nonqualified stock options (“NSOs”). ISOs may be granted only to the Company’s employees, including officers and directors who are also employees. NSOs may be granted to employees and consultants. Options granted under the 2008 Plan started expiring in August 2021. Options outstanding under the 2008 Plan will expire upon forfeiture. As of December 31, 2025, 2.3 million options were outstanding under the 2008 Plan.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71"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In September 2021, the Company adopted the 2021 Employee Stock Purchase Plan (the “2021 ESPP”). The 2021 ESPP became effective on the effective date of the IPO. A total of 412,988 shares were initially reserved for issuance under the 2021 ESPP. Additionally, the number of shares of common stock reserved for issuance under the 2021 ESPP will increase automatically each year, beginning on January 1, 2022, and continuing through and including January 1, 2031, by the lesser of (1) 1% of the total number of shares of common stock outstanding on December 31 of the preceding calendar year; or (2) such lesser number as determined by the Company’s board of directors. The number of shares that may be issued under the 2021 ESPP shall not exceed a total of 10,526,315 shares. As of December 31, 2025, approximately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556,000 shares have been issued under the 2021 ESPP. As of December 31, 2025, there were 1.8 million shares available for grant under the 2021 ESPP.</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Total stock-based compensation recognized, before taxes,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4,798</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31,950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14,401</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Stock-based compensation capitalized in inventory</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(4,921)</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(2,558)</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47,603</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31,840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Stock Options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1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A summary of the Company’s stock option activity and related information are as follows (options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0" w:type="dxa"/>
            <w:vAlign w:val="bottom"/>
          </w:tcPr>
          <w:p>
            <w:pPr>
              <w:spacing w:after="0"/>
              <w:rPr>
                <w:sz w:val="1"/>
                <w:szCs w:val="1"/>
                <w:color w:val="auto"/>
              </w:rPr>
            </w:pPr>
          </w:p>
        </w:tc>
      </w:tr>
      <w:tr>
        <w:trPr>
          <w:trHeight w:val="193"/>
        </w:trPr>
        <w:tc>
          <w:tcPr>
            <w:tcW w:w="6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58"/>
              <w:spacing w:after="0" w:line="122"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88"/>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beginning of period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0" w:type="dxa"/>
            <w:vAlign w:val="bottom"/>
          </w:tcPr>
          <w:p>
            <w:pPr>
              <w:spacing w:after="0"/>
              <w:rPr>
                <w:sz w:val="1"/>
                <w:szCs w:val="1"/>
                <w:color w:val="auto"/>
              </w:rPr>
            </w:pPr>
          </w:p>
        </w:tc>
      </w:tr>
      <w:tr>
        <w:trPr>
          <w:trHeight w:val="219"/>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43.95</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Cancelled/forfeited</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40.72</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end of period</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3,444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Vested and expected to vest</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40"/>
              <w:spacing w:after="0" w:line="191" w:lineRule="exact"/>
              <w:rPr>
                <w:sz w:val="20"/>
                <w:szCs w:val="20"/>
                <w:color w:val="auto"/>
              </w:rPr>
            </w:pPr>
            <w:r>
              <w:rPr>
                <w:rFonts w:ascii="Times New Roman" w:cs="Times New Roman" w:eastAsia="Times New Roman" w:hAnsi="Times New Roman"/>
                <w:sz w:val="17"/>
                <w:szCs w:val="17"/>
                <w:color w:val="auto"/>
              </w:rPr>
              <w:t>3,444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17.00</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2,796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20" w:firstLine="309"/>
        <w:spacing w:after="0" w:line="260" w:lineRule="auto"/>
        <w:rPr>
          <w:sz w:val="20"/>
          <w:szCs w:val="20"/>
          <w:color w:val="auto"/>
        </w:rPr>
      </w:pPr>
      <w:r>
        <w:rPr>
          <w:rFonts w:ascii="Times New Roman" w:cs="Times New Roman" w:eastAsia="Times New Roman" w:hAnsi="Times New Roman"/>
          <w:sz w:val="17"/>
          <w:szCs w:val="17"/>
          <w:color w:val="auto"/>
        </w:rPr>
        <w:t>The weighted-average grant date fair value of options granted during the years of December 31, 2025 and 2024 was $25.24 and $28.52, respectively. As of December 31, 2025, the aggregate pre-tax intrinsic value of options outstanding and exercisable was $61.0 million and options outstanding were $61.0 million. The aggregate pre-tax intrinsic value of options exercised was $31.7 million and $92.1 million during the years ended December 31, 2025 and 2024, respectively. The aggregate pre-tax intrinsic value was calculated as the difference between the exercise prices of the underlying options and the estimated fair value of the common stock on the date of exercise. The total fair value of options vested was $6.2 million and $5.6 million during the years ended December 31, 2025 and 2024, respectively.</w:t>
      </w:r>
    </w:p>
    <w:p>
      <w:pPr>
        <w:spacing w:after="0" w:line="122" w:lineRule="exact"/>
        <w:rPr>
          <w:sz w:val="20"/>
          <w:szCs w:val="20"/>
          <w:color w:val="auto"/>
        </w:rPr>
      </w:pPr>
    </w:p>
    <w:p>
      <w:pPr>
        <w:ind w:right="16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2025, total unrecognized stock-based compensation related to unvested stock options was $14.0 million, which the Company expects to recognize over a remaining weighted-average period of 3.0 years.</w:t>
      </w:r>
    </w:p>
    <w:p>
      <w:pPr>
        <w:spacing w:after="0" w:line="100" w:lineRule="exact"/>
        <w:rPr>
          <w:sz w:val="20"/>
          <w:szCs w:val="20"/>
          <w:color w:val="auto"/>
        </w:rPr>
      </w:pPr>
    </w:p>
    <w:p>
      <w:pPr>
        <w:ind w:right="420" w:firstLine="309"/>
        <w:spacing w:after="0" w:line="287" w:lineRule="auto"/>
        <w:rPr>
          <w:sz w:val="20"/>
          <w:szCs w:val="20"/>
          <w:color w:val="auto"/>
        </w:rPr>
      </w:pPr>
      <w:r>
        <w:rPr>
          <w:rFonts w:ascii="Times New Roman" w:cs="Times New Roman" w:eastAsia="Times New Roman" w:hAnsi="Times New Roman"/>
          <w:sz w:val="17"/>
          <w:szCs w:val="17"/>
          <w:color w:val="auto"/>
        </w:rPr>
        <w:t>The fair value of the options granted to employees or directors was estimated as of the grant date using the Black-Scholes model assuming the weighted-average assumptions listed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
        </w:trPr>
        <w:tc>
          <w:tcPr>
            <w:tcW w:w="37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1"/>
        </w:trPr>
        <w:tc>
          <w:tcPr>
            <w:tcW w:w="3720" w:type="dxa"/>
            <w:vAlign w:val="bottom"/>
            <w:tcBorders>
              <w:bottom w:val="single" w:sz="8" w:color="CCEEFF"/>
            </w:tcBorders>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2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2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19"/>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rate</w:t>
            </w:r>
          </w:p>
        </w:tc>
        <w:tc>
          <w:tcPr>
            <w:tcW w:w="2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fair value</w:t>
            </w:r>
          </w:p>
        </w:tc>
        <w:tc>
          <w:tcPr>
            <w:tcW w:w="3580" w:type="dxa"/>
            <w:vAlign w:val="bottom"/>
            <w:gridSpan w:val="2"/>
            <w:shd w:val="clear" w:color="auto" w:fill="CCEEFF"/>
          </w:tcPr>
          <w:p>
            <w:pPr>
              <w:jc w:val="right"/>
              <w:ind w:right="791"/>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9"/>
              </w:rPr>
              <w:t>25.24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21.02</w:t>
            </w:r>
          </w:p>
        </w:tc>
      </w:tr>
      <w:tr>
        <w:trPr>
          <w:trHeight w:val="864"/>
        </w:trPr>
        <w:tc>
          <w:tcPr>
            <w:tcW w:w="3720" w:type="dxa"/>
            <w:vAlign w:val="bottom"/>
          </w:tcPr>
          <w:p>
            <w:pPr>
              <w:spacing w:after="0"/>
              <w:rPr>
                <w:sz w:val="24"/>
                <w:szCs w:val="24"/>
                <w:color w:val="auto"/>
              </w:rPr>
            </w:pPr>
          </w:p>
        </w:tc>
        <w:tc>
          <w:tcPr>
            <w:tcW w:w="3580" w:type="dxa"/>
            <w:vAlign w:val="bottom"/>
            <w:gridSpan w:val="2"/>
          </w:tcPr>
          <w:p>
            <w:pPr>
              <w:jc w:val="right"/>
              <w:ind w:right="1451"/>
              <w:spacing w:after="0"/>
              <w:rPr>
                <w:sz w:val="20"/>
                <w:szCs w:val="20"/>
                <w:color w:val="auto"/>
              </w:rPr>
            </w:pPr>
            <w:r>
              <w:rPr>
                <w:rFonts w:ascii="Times New Roman" w:cs="Times New Roman" w:eastAsia="Times New Roman" w:hAnsi="Times New Roman"/>
                <w:sz w:val="17"/>
                <w:szCs w:val="17"/>
                <w:color w:val="auto"/>
              </w:rPr>
              <w:t>F-21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372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Company’s RSU activity and related information are as follows (RSUs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20" w:type="dxa"/>
            <w:vAlign w:val="bottom"/>
          </w:tcPr>
          <w:p>
            <w:pPr>
              <w:spacing w:after="0"/>
              <w:rPr>
                <w:sz w:val="15"/>
                <w:szCs w:val="15"/>
                <w:color w:val="auto"/>
              </w:rPr>
            </w:pPr>
          </w:p>
        </w:tc>
        <w:tc>
          <w:tcPr>
            <w:tcW w:w="2820" w:type="dxa"/>
            <w:vAlign w:val="bottom"/>
            <w:gridSpan w:val="4"/>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3"/>
        </w:trPr>
        <w:tc>
          <w:tcPr>
            <w:tcW w:w="8420" w:type="dxa"/>
            <w:vAlign w:val="bottom"/>
          </w:tcPr>
          <w:p>
            <w:pPr>
              <w:spacing w:after="0"/>
              <w:rPr>
                <w:sz w:val="16"/>
                <w:szCs w:val="16"/>
                <w:color w:val="auto"/>
              </w:rPr>
            </w:pPr>
          </w:p>
        </w:tc>
        <w:tc>
          <w:tcPr>
            <w:tcW w:w="282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
        </w:trPr>
        <w:tc>
          <w:tcPr>
            <w:tcW w:w="8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84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Restricted Stock Units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59"/>
              <w:spacing w:after="0" w:line="123"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87"/>
        </w:trPr>
        <w:tc>
          <w:tcPr>
            <w:tcW w:w="84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beginning of period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45.36</w:t>
            </w:r>
          </w:p>
        </w:tc>
        <w:tc>
          <w:tcPr>
            <w:tcW w:w="0" w:type="dxa"/>
            <w:vAlign w:val="bottom"/>
          </w:tcPr>
          <w:p>
            <w:pPr>
              <w:spacing w:after="0"/>
              <w:rPr>
                <w:sz w:val="1"/>
                <w:szCs w:val="1"/>
                <w:color w:val="auto"/>
              </w:rPr>
            </w:pPr>
          </w:p>
        </w:tc>
      </w:tr>
      <w:tr>
        <w:trPr>
          <w:trHeight w:val="219"/>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51.29</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44.90</w:t>
            </w:r>
          </w:p>
        </w:tc>
        <w:tc>
          <w:tcPr>
            <w:tcW w:w="0" w:type="dxa"/>
            <w:vAlign w:val="bottom"/>
          </w:tcPr>
          <w:p>
            <w:pPr>
              <w:spacing w:after="0"/>
              <w:rPr>
                <w:sz w:val="1"/>
                <w:szCs w:val="1"/>
                <w:color w:val="auto"/>
              </w:rPr>
            </w:pPr>
          </w:p>
        </w:tc>
      </w:tr>
      <w:tr>
        <w:trPr>
          <w:trHeight w:val="219"/>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Cancelled/forfeited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48.25</w:t>
            </w:r>
          </w:p>
        </w:tc>
        <w:tc>
          <w:tcPr>
            <w:tcW w:w="0" w:type="dxa"/>
            <w:vAlign w:val="bottom"/>
          </w:tcPr>
          <w:p>
            <w:pPr>
              <w:spacing w:after="0"/>
              <w:rPr>
                <w:sz w:val="1"/>
                <w:szCs w:val="1"/>
                <w:color w:val="auto"/>
              </w:rPr>
            </w:pPr>
          </w:p>
        </w:tc>
      </w:tr>
      <w:tr>
        <w:trPr>
          <w:trHeight w:val="237"/>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end of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weighted-average grant date fair value of RSUs granted during the years of December 31, 2025 and 2024 was $51.29 and $53.31, respectively.</w:t>
      </w:r>
    </w:p>
    <w:p>
      <w:pPr>
        <w:spacing w:after="0" w:line="165" w:lineRule="exact"/>
        <w:rPr>
          <w:sz w:val="20"/>
          <w:szCs w:val="20"/>
          <w:color w:val="auto"/>
        </w:rPr>
      </w:pPr>
    </w:p>
    <w:p>
      <w:pPr>
        <w:ind w:right="80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2025, the aggregate pre-tax intrinsic value of RSUs outstanding was $73.8 million, calculated based on the closing price of the Company’s common stock at the end of the period.</w:t>
      </w:r>
    </w:p>
    <w:p>
      <w:pPr>
        <w:spacing w:after="0" w:line="100" w:lineRule="exact"/>
        <w:rPr>
          <w:sz w:val="20"/>
          <w:szCs w:val="20"/>
          <w:color w:val="auto"/>
        </w:rPr>
      </w:pPr>
    </w:p>
    <w:p>
      <w:pPr>
        <w:ind w:right="68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2025, total unrecognized stock-based compensation related to unvested RSUs was $88.8 million, which the Company expects to recognize over a remaining weighted-average period of 2.8 years.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Stock Units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Company’s PSU activity and related information are as follows (PSUs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20" w:type="dxa"/>
            <w:vAlign w:val="bottom"/>
          </w:tcPr>
          <w:p>
            <w:pPr>
              <w:spacing w:after="0"/>
              <w:rPr>
                <w:sz w:val="15"/>
                <w:szCs w:val="15"/>
                <w:color w:val="auto"/>
              </w:rPr>
            </w:pPr>
          </w:p>
        </w:tc>
        <w:tc>
          <w:tcPr>
            <w:tcW w:w="2820" w:type="dxa"/>
            <w:vAlign w:val="bottom"/>
            <w:gridSpan w:val="4"/>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3"/>
        </w:trPr>
        <w:tc>
          <w:tcPr>
            <w:tcW w:w="8420" w:type="dxa"/>
            <w:vAlign w:val="bottom"/>
          </w:tcPr>
          <w:p>
            <w:pPr>
              <w:spacing w:after="0"/>
              <w:rPr>
                <w:sz w:val="16"/>
                <w:szCs w:val="16"/>
                <w:color w:val="auto"/>
              </w:rPr>
            </w:pPr>
          </w:p>
        </w:tc>
        <w:tc>
          <w:tcPr>
            <w:tcW w:w="282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8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2"/>
        </w:trPr>
        <w:tc>
          <w:tcPr>
            <w:tcW w:w="8420" w:type="dxa"/>
            <w:vAlign w:val="bottom"/>
          </w:tcPr>
          <w:p>
            <w:pPr>
              <w:spacing w:after="0"/>
              <w:rPr>
                <w:sz w:val="10"/>
                <w:szCs w:val="10"/>
                <w:color w:val="auto"/>
              </w:rPr>
            </w:pPr>
          </w:p>
        </w:tc>
        <w:tc>
          <w:tcPr>
            <w:tcW w:w="1360" w:type="dxa"/>
            <w:vAlign w:val="bottom"/>
          </w:tcPr>
          <w:p>
            <w:pPr>
              <w:jc w:val="right"/>
              <w:ind w:right="42"/>
              <w:spacing w:after="0" w:line="122"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59"/>
              <w:spacing w:after="0" w:line="122"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r>
      <w:tr>
        <w:trPr>
          <w:trHeight w:val="188"/>
        </w:trPr>
        <w:tc>
          <w:tcPr>
            <w:tcW w:w="84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beginning of period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73.20</w:t>
            </w:r>
          </w:p>
        </w:tc>
      </w:tr>
      <w:tr>
        <w:trPr>
          <w:trHeight w:val="219"/>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60.60</w:t>
            </w:r>
          </w:p>
        </w:tc>
      </w:tr>
      <w:tr>
        <w:trPr>
          <w:trHeight w:val="21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Cancelled/forfeited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70.14</w:t>
            </w:r>
          </w:p>
        </w:tc>
      </w:tr>
      <w:tr>
        <w:trPr>
          <w:trHeight w:val="219"/>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end of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16" w:lineRule="exact"/>
        <w:rPr>
          <w:sz w:val="20"/>
          <w:szCs w:val="20"/>
          <w:color w:val="auto"/>
        </w:rPr>
      </w:pPr>
    </w:p>
    <w:p>
      <w:pPr>
        <w:jc w:val="both"/>
        <w:ind w:right="8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2025, the aggregate pre-tax intrinsic value of PSUs outstanding was $3.6 million, calculated based on the closing price of the Company’s common stock at the end of the period.</w:t>
      </w:r>
    </w:p>
    <w:p>
      <w:pPr>
        <w:spacing w:after="0" w:line="100" w:lineRule="exact"/>
        <w:rPr>
          <w:sz w:val="20"/>
          <w:szCs w:val="20"/>
          <w:color w:val="auto"/>
        </w:rPr>
      </w:pPr>
    </w:p>
    <w:p>
      <w:pPr>
        <w:jc w:val="both"/>
        <w:ind w:right="8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2025, total unrecognized stock-based compensation related to unvested PSUs was $2.7 million, which the Company expects to recognize over a remaining weighted-average period of 1.1 years.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Stock Purchase Plan</w:t>
      </w:r>
    </w:p>
    <w:p>
      <w:pPr>
        <w:spacing w:after="0" w:line="169" w:lineRule="exact"/>
        <w:rPr>
          <w:sz w:val="20"/>
          <w:szCs w:val="20"/>
          <w:color w:val="auto"/>
        </w:rPr>
      </w:pPr>
    </w:p>
    <w:p>
      <w:pPr>
        <w:ind w:right="140" w:firstLine="309"/>
        <w:spacing w:after="0" w:line="270" w:lineRule="auto"/>
        <w:rPr>
          <w:sz w:val="20"/>
          <w:szCs w:val="20"/>
          <w:color w:val="auto"/>
        </w:rPr>
      </w:pPr>
      <w:r>
        <w:rPr>
          <w:rFonts w:ascii="Times New Roman" w:cs="Times New Roman" w:eastAsia="Times New Roman" w:hAnsi="Times New Roman"/>
          <w:sz w:val="17"/>
          <w:szCs w:val="17"/>
          <w:color w:val="auto"/>
        </w:rPr>
        <w:t>As of December 31, 2025, there was approximately $3.3 million of unrecognized cost related to employee stock purchases under the 2021 ESPP. This cost is expected to be recognized over a weighted average period of 0.6 years. As of December 31, 2025, a total of 1.8 million shares were available for issuance under the 2021 ESPP.</w:t>
      </w:r>
    </w:p>
    <w:p>
      <w:pPr>
        <w:spacing w:after="0" w:line="114" w:lineRule="exact"/>
        <w:rPr>
          <w:sz w:val="20"/>
          <w:szCs w:val="20"/>
          <w:color w:val="auto"/>
        </w:rPr>
      </w:pPr>
    </w:p>
    <w:p>
      <w:pPr>
        <w:ind w:right="480" w:firstLine="309"/>
        <w:spacing w:after="0" w:line="287" w:lineRule="auto"/>
        <w:rPr>
          <w:sz w:val="20"/>
          <w:szCs w:val="20"/>
          <w:color w:val="auto"/>
        </w:rPr>
      </w:pPr>
      <w:r>
        <w:rPr>
          <w:rFonts w:ascii="Times New Roman" w:cs="Times New Roman" w:eastAsia="Times New Roman" w:hAnsi="Times New Roman"/>
          <w:sz w:val="17"/>
          <w:szCs w:val="17"/>
          <w:color w:val="auto"/>
        </w:rPr>
        <w:t>The fair value of the options granted under the 2021 ESPP to employees was estimated as of the grant date using the Black-Scholes model assuming the weighted-average assumptions listed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r>
      <w:tr>
        <w:trPr>
          <w:trHeight w:val="219"/>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rate</w:t>
            </w:r>
          </w:p>
        </w:tc>
        <w:tc>
          <w:tcPr>
            <w:tcW w:w="10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fair value</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26.20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11.20</w:t>
            </w:r>
          </w:p>
        </w:tc>
      </w:tr>
    </w:tbl>
    <w:p>
      <w:pPr>
        <w:spacing w:after="0" w:line="225" w:lineRule="exact"/>
        <w:rPr>
          <w:sz w:val="20"/>
          <w:szCs w:val="20"/>
          <w:color w:val="auto"/>
        </w:rPr>
      </w:pPr>
    </w:p>
    <w:p>
      <w:pPr>
        <w:ind w:left="300" w:hanging="297"/>
        <w:spacing w:after="0"/>
        <w:tabs>
          <w:tab w:leader="none" w:pos="30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69"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Loss before provision for income taxes consisted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(95,890)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(106,068)</w:t>
            </w:r>
          </w:p>
        </w:tc>
        <w:tc>
          <w:tcPr>
            <w:tcW w:w="0" w:type="dxa"/>
            <w:vAlign w:val="bottom"/>
          </w:tcPr>
          <w:p>
            <w:pPr>
              <w:spacing w:after="0"/>
              <w:rPr>
                <w:sz w:val="1"/>
                <w:szCs w:val="1"/>
                <w:color w:val="auto"/>
              </w:rPr>
            </w:pPr>
          </w:p>
        </w:tc>
      </w:tr>
      <w:tr>
        <w:trPr>
          <w:trHeight w:val="21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loss before provision for income taxes</w:t>
            </w: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(95,382)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(91,045)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(105,817)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color w:val="auto"/>
              </w:rPr>
              <w:t>The provision for income taxes consisted of the following (in thousands):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2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provision for income taxes</w:t>
            </w: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color w:val="auto"/>
              </w:rPr>
              <w:t>Income taxes paid, net of refunds, consisted of the following (in thousands):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2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9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2"/>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cash paid for income taxes, net of refunds</w:t>
            </w: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Reconciliation between taxes at the federal statutory rate and the income tax provision, subsequent to the adoption of ASU 2023-09,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was as follows (amount in thousands):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2"/>
        </w:trPr>
        <w:tc>
          <w:tcPr>
            <w:tcW w:w="6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1"/>
        </w:trPr>
        <w:tc>
          <w:tcPr>
            <w:tcW w:w="6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8"/>
        </w:trPr>
        <w:tc>
          <w:tcPr>
            <w:tcW w:w="7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 statutory tax rate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(20,030)</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21 %</w:t>
            </w:r>
          </w:p>
        </w:tc>
      </w:tr>
      <w:tr>
        <w:trPr>
          <w:trHeight w:val="21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 and local income taxes, net of federal income tax effect</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tax effects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Effect of cross-border tax laws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Research and development tax credits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80" w:type="dxa"/>
            <w:vAlign w:val="bottom"/>
          </w:tcPr>
          <w:p>
            <w:pPr>
              <w:spacing w:after="0"/>
              <w:rPr>
                <w:sz w:val="19"/>
                <w:szCs w:val="19"/>
                <w:color w:val="auto"/>
              </w:rPr>
            </w:pPr>
          </w:p>
        </w:tc>
        <w:tc>
          <w:tcPr>
            <w:tcW w:w="142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8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Effective tax rate</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6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60" w:firstLine="309"/>
        <w:spacing w:after="0" w:line="287" w:lineRule="auto"/>
        <w:rPr>
          <w:sz w:val="20"/>
          <w:szCs w:val="20"/>
          <w:color w:val="auto"/>
        </w:rPr>
      </w:pPr>
      <w:r>
        <w:rPr>
          <w:rFonts w:ascii="Times New Roman" w:cs="Times New Roman" w:eastAsia="Times New Roman" w:hAnsi="Times New Roman"/>
          <w:sz w:val="17"/>
          <w:szCs w:val="17"/>
          <w:color w:val="auto"/>
        </w:rPr>
        <w:t>Reconciliation between the tax provision computed at the federal statutory income tax rate and the Company's actual effective income tax rate for the years ended December 31, 2024 and 2023, prior to the adoption of ASU 2023-09, was as follows:</w:t>
      </w:r>
    </w:p>
    <w:p>
      <w:pPr>
        <w:spacing w:after="0" w:line="1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6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7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 statutory tax rate</w:t>
            </w:r>
          </w:p>
        </w:tc>
        <w:tc>
          <w:tcPr>
            <w:tcW w:w="10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21 %</w:t>
            </w:r>
          </w:p>
        </w:tc>
      </w:tr>
      <w:tr>
        <w:trPr>
          <w:trHeight w:val="219"/>
        </w:trPr>
        <w:tc>
          <w:tcPr>
            <w:tcW w:w="89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R&amp;D tax credit</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8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89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permanent differences</w:t>
            </w: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(21)</w:t>
            </w:r>
          </w:p>
        </w:tc>
      </w:tr>
      <w:tr>
        <w:trPr>
          <w:trHeight w:val="212"/>
        </w:trPr>
        <w:tc>
          <w:tcPr>
            <w:tcW w:w="89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16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7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right="40" w:firstLine="309"/>
        <w:spacing w:after="0" w:line="264" w:lineRule="auto"/>
        <w:rPr>
          <w:sz w:val="20"/>
          <w:szCs w:val="20"/>
          <w:color w:val="auto"/>
        </w:rPr>
      </w:pPr>
      <w:r>
        <w:rPr>
          <w:rFonts w:ascii="Times New Roman" w:cs="Times New Roman" w:eastAsia="Times New Roman" w:hAnsi="Times New Roman"/>
          <w:sz w:val="17"/>
          <w:szCs w:val="17"/>
          <w:color w:val="auto"/>
        </w:rPr>
        <w:t>The Company’s income taxes are accounted for in accordance with authoritative guidance, which requires the use of the asset and liability method. Under this method, deferred income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Significant components of net deferred tax assets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5"/>
                <w:szCs w:val="15"/>
                <w:color w:val="auto"/>
              </w:rPr>
            </w:pPr>
          </w:p>
        </w:tc>
      </w:tr>
      <w:tr>
        <w:trPr>
          <w:trHeight w:val="22"/>
        </w:trPr>
        <w:tc>
          <w:tcPr>
            <w:tcW w:w="38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3800" w:type="dxa"/>
            <w:vAlign w:val="bottom"/>
            <w:tcBorders>
              <w:bottom w:val="single" w:sz="8" w:color="CCEEFF"/>
            </w:tcBorders>
          </w:tcPr>
          <w:p>
            <w:pPr>
              <w:spacing w:after="0"/>
              <w:rPr>
                <w:sz w:val="15"/>
                <w:szCs w:val="15"/>
                <w:color w:val="auto"/>
              </w:rPr>
            </w:pPr>
          </w:p>
        </w:tc>
        <w:tc>
          <w:tcPr>
            <w:tcW w:w="4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4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losses</w:t>
            </w:r>
          </w:p>
        </w:tc>
        <w:tc>
          <w:tcPr>
            <w:tcW w:w="47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109,932</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96,477</w:t>
            </w:r>
          </w:p>
        </w:tc>
      </w:tr>
      <w:tr>
        <w:trPr>
          <w:trHeight w:val="21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Property and equipment</w:t>
            </w:r>
          </w:p>
        </w:tc>
        <w:tc>
          <w:tcPr>
            <w:tcW w:w="4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r>
      <w:tr>
        <w:trPr>
          <w:trHeight w:val="219"/>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R&amp;D tax credit</w:t>
            </w:r>
          </w:p>
        </w:tc>
        <w:tc>
          <w:tcPr>
            <w:tcW w:w="4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16,152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12,849</w:t>
            </w:r>
          </w:p>
        </w:tc>
      </w:tr>
      <w:tr>
        <w:trPr>
          <w:trHeight w:val="21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4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5,041</w:t>
            </w:r>
          </w:p>
        </w:tc>
      </w:tr>
      <w:tr>
        <w:trPr>
          <w:trHeight w:val="219"/>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Capitalized R&amp;D expenses</w:t>
            </w:r>
          </w:p>
        </w:tc>
        <w:tc>
          <w:tcPr>
            <w:tcW w:w="4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32,306</w:t>
            </w:r>
          </w:p>
        </w:tc>
      </w:tr>
      <w:tr>
        <w:trPr>
          <w:trHeight w:val="21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Inventory</w:t>
            </w:r>
          </w:p>
        </w:tc>
        <w:tc>
          <w:tcPr>
            <w:tcW w:w="4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w:t>
            </w:r>
          </w:p>
        </w:tc>
      </w:tr>
      <w:tr>
        <w:trPr>
          <w:trHeight w:val="219"/>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Lease liability</w:t>
            </w:r>
          </w:p>
        </w:tc>
        <w:tc>
          <w:tcPr>
            <w:tcW w:w="4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7,059</w:t>
            </w:r>
          </w:p>
        </w:tc>
      </w:tr>
      <w:tr>
        <w:trPr>
          <w:trHeight w:val="21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Accruals and reserves</w:t>
            </w:r>
          </w:p>
        </w:tc>
        <w:tc>
          <w:tcPr>
            <w:tcW w:w="43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3,738</w:t>
            </w: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4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160,800</w:t>
            </w:r>
          </w:p>
        </w:tc>
      </w:tr>
      <w:tr>
        <w:trPr>
          <w:trHeight w:val="21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Valuation allowance</w:t>
            </w:r>
          </w:p>
        </w:tc>
        <w:tc>
          <w:tcPr>
            <w:tcW w:w="43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(182,986)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(156,145)</w:t>
            </w: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deferred tax assets</w:t>
            </w:r>
          </w:p>
        </w:tc>
        <w:tc>
          <w:tcPr>
            <w:tcW w:w="4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4,655</w:t>
            </w: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4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Right-of-use assets</w:t>
            </w:r>
          </w:p>
        </w:tc>
        <w:tc>
          <w:tcPr>
            <w:tcW w:w="43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(4,655)</w:t>
            </w:r>
          </w:p>
        </w:tc>
      </w:tr>
      <w:tr>
        <w:trPr>
          <w:trHeight w:val="212"/>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4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(4,655)</w:t>
            </w:r>
          </w:p>
        </w:tc>
      </w:tr>
      <w:tr>
        <w:trPr>
          <w:trHeight w:val="21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tax assets</w:t>
            </w:r>
          </w:p>
        </w:tc>
        <w:tc>
          <w:tcPr>
            <w:tcW w:w="438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56"/>
        </w:trPr>
        <w:tc>
          <w:tcPr>
            <w:tcW w:w="3800" w:type="dxa"/>
            <w:vAlign w:val="bottom"/>
          </w:tcPr>
          <w:p>
            <w:pPr>
              <w:spacing w:after="0"/>
              <w:rPr>
                <w:sz w:val="24"/>
                <w:szCs w:val="24"/>
                <w:color w:val="auto"/>
              </w:rPr>
            </w:pPr>
          </w:p>
        </w:tc>
        <w:tc>
          <w:tcPr>
            <w:tcW w:w="4740" w:type="dxa"/>
            <w:vAlign w:val="bottom"/>
            <w:gridSpan w:val="2"/>
          </w:tcPr>
          <w:p>
            <w:pPr>
              <w:jc w:val="right"/>
              <w:ind w:right="2674"/>
              <w:spacing w:after="0"/>
              <w:rPr>
                <w:sz w:val="20"/>
                <w:szCs w:val="20"/>
                <w:color w:val="auto"/>
              </w:rPr>
            </w:pPr>
            <w:r>
              <w:rPr>
                <w:rFonts w:ascii="Times New Roman" w:cs="Times New Roman" w:eastAsia="Times New Roman" w:hAnsi="Times New Roman"/>
                <w:sz w:val="17"/>
                <w:szCs w:val="17"/>
                <w:color w:val="auto"/>
              </w:rPr>
              <w:t>F-24</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8"/>
        </w:trPr>
        <w:tc>
          <w:tcPr>
            <w:tcW w:w="380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The valuation allowance increased by $26.8 million during the year ended December 31, 2025. This increase primarily reflects additional deferred tax assets generated during the year, principally related to net operating loss carryforwards, capitalized research and development expenses, and research and development tax credits. The valuation allowance increased by $34.7 million during the ended December 31, 2024, primarily due to similar factors. The valuation allowance increased by $27.4 million during the year ended December 31, 2023, primarily due to similar factors.</w:t>
      </w:r>
    </w:p>
    <w:p>
      <w:pPr>
        <w:spacing w:after="0" w:line="135" w:lineRule="exact"/>
        <w:rPr>
          <w:sz w:val="20"/>
          <w:szCs w:val="20"/>
          <w:color w:val="auto"/>
        </w:rPr>
      </w:pPr>
    </w:p>
    <w:p>
      <w:pPr>
        <w:jc w:val="both"/>
        <w:ind w:right="240" w:firstLine="309"/>
        <w:spacing w:after="0" w:line="270" w:lineRule="auto"/>
        <w:rPr>
          <w:sz w:val="20"/>
          <w:szCs w:val="20"/>
          <w:color w:val="auto"/>
        </w:rPr>
      </w:pPr>
      <w:r>
        <w:rPr>
          <w:rFonts w:ascii="Times New Roman" w:cs="Times New Roman" w:eastAsia="Times New Roman" w:hAnsi="Times New Roman"/>
          <w:sz w:val="17"/>
          <w:szCs w:val="17"/>
          <w:color w:val="auto"/>
        </w:rPr>
        <w:t>As of December 31, 2025 and 2024, the Company has U.S. federal net operating loss (“NOL”) carryforwards of approximately $446.9 million and $391.9 million, respectively, expiring beginning 2028. As of December 31, 2025 and 2024, the Company has U.S. state and local NOL carryforwards of approximately $281.5 million and $242.2 million, respectively, expiring beginning 2028.</w:t>
      </w:r>
    </w:p>
    <w:p>
      <w:pPr>
        <w:spacing w:after="0" w:line="114" w:lineRule="exact"/>
        <w:rPr>
          <w:sz w:val="20"/>
          <w:szCs w:val="20"/>
          <w:color w:val="auto"/>
        </w:rPr>
      </w:pPr>
    </w:p>
    <w:p>
      <w:pPr>
        <w:ind w:right="60" w:firstLine="309"/>
        <w:spacing w:after="0" w:line="270" w:lineRule="auto"/>
        <w:rPr>
          <w:sz w:val="20"/>
          <w:szCs w:val="20"/>
          <w:color w:val="auto"/>
        </w:rPr>
      </w:pPr>
      <w:r>
        <w:rPr>
          <w:rFonts w:ascii="Times New Roman" w:cs="Times New Roman" w:eastAsia="Times New Roman" w:hAnsi="Times New Roman"/>
          <w:sz w:val="17"/>
          <w:szCs w:val="17"/>
          <w:color w:val="auto"/>
        </w:rPr>
        <w:t>As of December 31, 2025 and 2024, the Company has federal research and development credit carryforwards of approximately $13.2 million and $10.6 million, respectively, available to reduce future taxable income, if any. As of December 31, 2025 and 2024, the Company has California research and development credit carryforwards of approximately $10.6 million and $8.3 million, respectively, available to reduce future taxable income, if any.</w:t>
      </w:r>
    </w:p>
    <w:p>
      <w:pPr>
        <w:spacing w:after="0" w:line="114" w:lineRule="exact"/>
        <w:rPr>
          <w:sz w:val="20"/>
          <w:szCs w:val="20"/>
          <w:color w:val="auto"/>
        </w:rPr>
      </w:pPr>
    </w:p>
    <w:p>
      <w:pPr>
        <w:ind w:right="720" w:firstLine="309"/>
        <w:spacing w:after="0" w:line="287" w:lineRule="auto"/>
        <w:rPr>
          <w:sz w:val="20"/>
          <w:szCs w:val="20"/>
          <w:color w:val="auto"/>
        </w:rPr>
      </w:pPr>
      <w:r>
        <w:rPr>
          <w:rFonts w:ascii="Times New Roman" w:cs="Times New Roman" w:eastAsia="Times New Roman" w:hAnsi="Times New Roman"/>
          <w:sz w:val="17"/>
          <w:szCs w:val="17"/>
          <w:color w:val="auto"/>
        </w:rPr>
        <w:t>The federal research and development credit carryforwards expire beginning 2028 and California research and development credit carryforwards are indefinite.</w:t>
      </w:r>
    </w:p>
    <w:p>
      <w:pPr>
        <w:spacing w:after="0" w:line="100" w:lineRule="exact"/>
        <w:rPr>
          <w:sz w:val="20"/>
          <w:szCs w:val="20"/>
          <w:color w:val="auto"/>
        </w:rPr>
      </w:pPr>
    </w:p>
    <w:p>
      <w:pPr>
        <w:ind w:right="200" w:firstLine="309"/>
        <w:spacing w:after="0" w:line="264" w:lineRule="auto"/>
        <w:rPr>
          <w:sz w:val="20"/>
          <w:szCs w:val="20"/>
          <w:color w:val="auto"/>
        </w:rPr>
      </w:pPr>
      <w:r>
        <w:rPr>
          <w:rFonts w:ascii="Times New Roman" w:cs="Times New Roman" w:eastAsia="Times New Roman" w:hAnsi="Times New Roman"/>
          <w:sz w:val="17"/>
          <w:szCs w:val="17"/>
          <w:color w:val="auto"/>
        </w:rPr>
        <w:t>Internal Revenue Code section 382 places a limitation (the “Section 382 Limitation”) on the amount of taxable income that can be offset by net operating carryforwards after a change in control of a loss corporation. Generally, after a change in control, a loss corporation cannot deduct operating loss carryovers in excess of the Section 382 limitation. The Company has not performed an analysis to determine if a limitation applies and whether the limitation would cause the net operating losses to expire un-utilized.</w:t>
      </w:r>
    </w:p>
    <w:p>
      <w:pPr>
        <w:spacing w:after="0" w:line="120" w:lineRule="exact"/>
        <w:rPr>
          <w:sz w:val="20"/>
          <w:szCs w:val="20"/>
          <w:color w:val="auto"/>
        </w:rPr>
      </w:pPr>
    </w:p>
    <w:p>
      <w:pPr>
        <w:ind w:right="220" w:firstLine="309"/>
        <w:spacing w:after="0" w:line="270" w:lineRule="auto"/>
        <w:rPr>
          <w:sz w:val="20"/>
          <w:szCs w:val="20"/>
          <w:color w:val="auto"/>
        </w:rPr>
      </w:pPr>
      <w:r>
        <w:rPr>
          <w:rFonts w:ascii="Times New Roman" w:cs="Times New Roman" w:eastAsia="Times New Roman" w:hAnsi="Times New Roman"/>
          <w:sz w:val="17"/>
          <w:szCs w:val="17"/>
          <w:color w:val="auto"/>
        </w:rPr>
        <w:t>The Company files federal, state, and foreign income tax returns. The tax periods 2008 through 2025 remain open in most jurisdictions. In addition, any tax losses that were generated in prior years and carried forward may also be subject to examination by respective authorities. The Company is not currently under examination by federal, state or foreign income tax authorities.</w:t>
      </w:r>
    </w:p>
    <w:p>
      <w:pPr>
        <w:spacing w:after="0" w:line="114" w:lineRule="exact"/>
        <w:rPr>
          <w:sz w:val="20"/>
          <w:szCs w:val="20"/>
          <w:color w:val="auto"/>
        </w:rPr>
      </w:pPr>
    </w:p>
    <w:p>
      <w:pPr>
        <w:ind w:right="160" w:firstLine="309"/>
        <w:spacing w:after="0" w:line="260" w:lineRule="auto"/>
        <w:rPr>
          <w:sz w:val="20"/>
          <w:szCs w:val="20"/>
          <w:color w:val="auto"/>
        </w:rPr>
      </w:pPr>
      <w:r>
        <w:rPr>
          <w:rFonts w:ascii="Times New Roman" w:cs="Times New Roman" w:eastAsia="Times New Roman" w:hAnsi="Times New Roman"/>
          <w:sz w:val="17"/>
          <w:szCs w:val="17"/>
          <w:color w:val="auto"/>
        </w:rPr>
        <w:t>On July 4, 2025, new federal tax legislation was signed into law. The legislation includes significant revisions to U.S. corporate income tax laws, including, among other provisions, restoring the option for immediate expensing of certain U.S.-based research and development expenditures and making permanent the ability to claim first-year bonus depreciation on qualified property. The legislation also modifies certain aspects of U.S. taxation of foreign earnings, including changes to the taxation of Net CFC Tested Income (formerly referred to as global intangible low-taxed income (“GILTI”)) and foreign-derived deduction eligible income, as well as revisions to foreign tax credit rules. The enactment of the legislation did not have a material impact on the Company’s consolidated financial statements due to the Company’s cumulative losses and full valuation allowance position.</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reconciliation of the change in the unrecognized tax benefit during the year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6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of year</w:t>
            </w: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r>
      <w:tr>
        <w:trPr>
          <w:trHeight w:val="219"/>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for tax positions related to:</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Current year</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r>
      <w:tr>
        <w:trPr>
          <w:trHeight w:val="219"/>
        </w:trPr>
        <w:tc>
          <w:tcPr>
            <w:tcW w:w="6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Prior years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37"/>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 of year</w:t>
            </w:r>
          </w:p>
        </w:tc>
        <w:tc>
          <w:tcPr>
            <w:tcW w:w="94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20" w:firstLine="309"/>
        <w:spacing w:after="0" w:line="270" w:lineRule="auto"/>
        <w:rPr>
          <w:sz w:val="20"/>
          <w:szCs w:val="20"/>
          <w:color w:val="auto"/>
        </w:rPr>
      </w:pPr>
      <w:r>
        <w:rPr>
          <w:rFonts w:ascii="Times New Roman" w:cs="Times New Roman" w:eastAsia="Times New Roman" w:hAnsi="Times New Roman"/>
          <w:sz w:val="17"/>
          <w:szCs w:val="17"/>
          <w:color w:val="auto"/>
        </w:rPr>
        <w:t>As of December 31, 2025, the Company had a total of $5.9 million of gross unrecognized tax benefits, none of which would affect the effective tax rate upon realization. The Company currently has a full valuation allowance against its U.S. net deferred tax assets which would impact the timing of the effective tax rate benefit should any of these uncertain tax positions be favorably settled in the future.</w:t>
      </w:r>
    </w:p>
    <w:p>
      <w:pPr>
        <w:spacing w:after="0" w:line="114" w:lineRule="exact"/>
        <w:rPr>
          <w:sz w:val="20"/>
          <w:szCs w:val="20"/>
          <w:color w:val="auto"/>
        </w:rPr>
      </w:pPr>
    </w:p>
    <w:p>
      <w:pPr>
        <w:ind w:right="320" w:firstLine="309"/>
        <w:spacing w:after="0" w:line="270" w:lineRule="auto"/>
        <w:rPr>
          <w:sz w:val="20"/>
          <w:szCs w:val="20"/>
          <w:color w:val="auto"/>
        </w:rPr>
      </w:pPr>
      <w:r>
        <w:rPr>
          <w:rFonts w:ascii="Times New Roman" w:cs="Times New Roman" w:eastAsia="Times New Roman" w:hAnsi="Times New Roman"/>
          <w:sz w:val="17"/>
          <w:szCs w:val="17"/>
          <w:color w:val="auto"/>
        </w:rPr>
        <w:t>The Company does not expect the unrecognized tax benefits to change significantly over the next 12 months. The Company will recognize interest and penalties accrued on any unrecognized tax benefits as a component of income tax expense. As of December 31, 2025, the Company has not accrued interest or penalties related to uncertain tax positions.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10.</w:t>
        <w:tab/>
        <w:t>Net Loss Per Share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Net loss per share was determined as follows (in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6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(105,897)</w:t>
            </w: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Weighted-average common stock outstanding</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55,544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47,255</w:t>
            </w: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60" w:firstLine="309"/>
        <w:spacing w:after="0" w:line="287" w:lineRule="auto"/>
        <w:rPr>
          <w:sz w:val="20"/>
          <w:szCs w:val="20"/>
          <w:color w:val="auto"/>
        </w:rPr>
      </w:pPr>
      <w:r>
        <w:rPr>
          <w:rFonts w:ascii="Times New Roman" w:cs="Times New Roman" w:eastAsia="Times New Roman" w:hAnsi="Times New Roman"/>
          <w:sz w:val="17"/>
          <w:szCs w:val="17"/>
          <w:color w:val="auto"/>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20" w:type="dxa"/>
            <w:vAlign w:val="bottom"/>
            <w:tcBorders>
              <w:bottom w:val="single" w:sz="8" w:color="CCEEFF"/>
            </w:tcBorders>
          </w:tcPr>
          <w:p>
            <w:pPr>
              <w:spacing w:after="0"/>
              <w:rPr>
                <w:sz w:val="15"/>
                <w:szCs w:val="15"/>
                <w:color w:val="auto"/>
              </w:rPr>
            </w:pPr>
          </w:p>
        </w:tc>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options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w:t>
            </w:r>
          </w:p>
        </w:tc>
        <w:tc>
          <w:tcPr>
            <w:tcW w:w="0" w:type="dxa"/>
            <w:vAlign w:val="bottom"/>
          </w:tcPr>
          <w:p>
            <w:pPr>
              <w:spacing w:after="0"/>
              <w:rPr>
                <w:sz w:val="1"/>
                <w:szCs w:val="1"/>
                <w:color w:val="auto"/>
              </w:rPr>
            </w:pPr>
          </w:p>
        </w:tc>
      </w:tr>
      <w:tr>
        <w:trPr>
          <w:trHeight w:val="21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Restricted and performance stock units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0" w:type="dxa"/>
            <w:vAlign w:val="bottom"/>
          </w:tcPr>
          <w:p>
            <w:pPr>
              <w:spacing w:after="0"/>
              <w:rPr>
                <w:sz w:val="1"/>
                <w:szCs w:val="1"/>
                <w:color w:val="auto"/>
              </w:rPr>
            </w:pPr>
          </w:p>
        </w:tc>
      </w:tr>
      <w:tr>
        <w:trPr>
          <w:trHeight w:val="21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6,860</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93"/>
              </w:rPr>
              <w:t>11.</w:t>
            </w:r>
          </w:p>
        </w:tc>
        <w:tc>
          <w:tcPr>
            <w:tcW w:w="64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Geographical Information</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20" w:type="dxa"/>
            <w:vAlign w:val="bottom"/>
            <w:vMerge w:val="continue"/>
          </w:tcPr>
          <w:p>
            <w:pPr>
              <w:spacing w:after="0"/>
              <w:rPr>
                <w:sz w:val="24"/>
                <w:szCs w:val="24"/>
                <w:color w:val="auto"/>
              </w:rPr>
            </w:pPr>
          </w:p>
        </w:tc>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following table presents revenue disaggregated by type and geography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20" w:type="dxa"/>
            <w:vAlign w:val="bottom"/>
            <w:tcBorders>
              <w:bottom w:val="single" w:sz="8" w:color="CCEEFF"/>
            </w:tcBorders>
          </w:tcPr>
          <w:p>
            <w:pPr>
              <w:spacing w:after="0"/>
              <w:rPr>
                <w:sz w:val="15"/>
                <w:szCs w:val="15"/>
                <w:color w:val="auto"/>
              </w:rPr>
            </w:pPr>
          </w:p>
        </w:tc>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System sales and rentals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93,000</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78,614</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53,626</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Handpieces and other consumables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64,051</w:t>
            </w:r>
          </w:p>
        </w:tc>
        <w:tc>
          <w:tcPr>
            <w:tcW w:w="0" w:type="dxa"/>
            <w:vAlign w:val="bottom"/>
          </w:tcPr>
          <w:p>
            <w:pPr>
              <w:spacing w:after="0"/>
              <w:rPr>
                <w:sz w:val="1"/>
                <w:szCs w:val="1"/>
                <w:color w:val="auto"/>
              </w:rPr>
            </w:pPr>
          </w:p>
        </w:tc>
      </w:tr>
      <w:tr>
        <w:trPr>
          <w:trHeight w:val="219"/>
        </w:trPr>
        <w:tc>
          <w:tcPr>
            <w:tcW w:w="22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Service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6,620</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U.S. revenue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124,297</w:t>
            </w:r>
          </w:p>
        </w:tc>
        <w:tc>
          <w:tcPr>
            <w:tcW w:w="0" w:type="dxa"/>
            <w:vAlign w:val="bottom"/>
          </w:tcPr>
          <w:p>
            <w:pPr>
              <w:spacing w:after="0"/>
              <w:rPr>
                <w:sz w:val="1"/>
                <w:szCs w:val="1"/>
                <w:color w:val="auto"/>
              </w:rPr>
            </w:pPr>
          </w:p>
        </w:tc>
      </w:tr>
      <w:tr>
        <w:trPr>
          <w:trHeight w:val="21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Outside of U.S.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System sales and rentals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5,294</w:t>
            </w: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Handpieces and other consumables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5,471</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0" w:type="dxa"/>
            <w:vAlign w:val="bottom"/>
          </w:tcPr>
          <w:p>
            <w:pPr>
              <w:spacing w:after="0"/>
              <w:rPr>
                <w:sz w:val="1"/>
                <w:szCs w:val="1"/>
                <w:color w:val="auto"/>
              </w:rPr>
            </w:pPr>
          </w:p>
        </w:tc>
      </w:tr>
      <w:tr>
        <w:trPr>
          <w:trHeight w:val="212"/>
        </w:trPr>
        <w:tc>
          <w:tcPr>
            <w:tcW w:w="220" w:type="dxa"/>
            <w:vAlign w:val="bottom"/>
            <w:tcBorders>
              <w:bottom w:val="single" w:sz="8" w:color="CCEEFF"/>
            </w:tcBorders>
          </w:tcPr>
          <w:p>
            <w:pPr>
              <w:spacing w:after="0"/>
              <w:rPr>
                <w:sz w:val="18"/>
                <w:szCs w:val="18"/>
                <w:color w:val="auto"/>
              </w:rPr>
            </w:pPr>
          </w:p>
        </w:tc>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outside of U.S. revenue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37,676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11,894</w:t>
            </w:r>
          </w:p>
        </w:tc>
        <w:tc>
          <w:tcPr>
            <w:tcW w:w="0" w:type="dxa"/>
            <w:vAlign w:val="bottom"/>
          </w:tcPr>
          <w:p>
            <w:pPr>
              <w:spacing w:after="0"/>
              <w:rPr>
                <w:sz w:val="1"/>
                <w:szCs w:val="1"/>
                <w:color w:val="auto"/>
              </w:rPr>
            </w:pPr>
          </w:p>
        </w:tc>
      </w:tr>
      <w:tr>
        <w:trPr>
          <w:trHeight w:val="237"/>
        </w:trPr>
        <w:tc>
          <w:tcPr>
            <w:tcW w:w="2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308,054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224,498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136,191</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640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20" w:type="dxa"/>
            <w:vAlign w:val="bottom"/>
            <w:vMerge w:val="continue"/>
          </w:tcPr>
          <w:p>
            <w:pPr>
              <w:spacing w:after="0"/>
              <w:rPr>
                <w:sz w:val="24"/>
                <w:szCs w:val="24"/>
                <w:color w:val="auto"/>
              </w:rPr>
            </w:pPr>
          </w:p>
        </w:tc>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 and Indemnifications</w:t>
      </w:r>
    </w:p>
    <w:p>
      <w:pPr>
        <w:spacing w:after="0" w:line="171"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7"/>
          <w:szCs w:val="17"/>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2025, the Company does not have any material indemnification claims that were probable or reasonably possible and consequently has not recorded related liabilities.</w:t>
      </w:r>
    </w:p>
    <w:p>
      <w:pPr>
        <w:spacing w:after="0" w:line="11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13.</w:t>
        <w:tab/>
        <w:t>Defined Contribution Plan</w:t>
      </w:r>
    </w:p>
    <w:p>
      <w:pPr>
        <w:spacing w:after="0" w:line="169"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The Company has a defined contribution retirement savings plan under Section 401(k) of the Internal Revenue Code. This plan allows eligible employees to defer a portion of their annual compensation on a pre-tax basis. Employer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contributions were $3.4 million, $2.4 million, and $1.5 million for the year ended December 31, 2025, 2024, and 2023, respectively.</w:t>
      </w:r>
    </w:p>
    <w:p>
      <w:pPr>
        <w:spacing w:after="0" w:line="200" w:lineRule="exact"/>
        <w:rPr>
          <w:sz w:val="20"/>
          <w:szCs w:val="20"/>
          <w:color w:val="auto"/>
        </w:rPr>
      </w:pPr>
    </w:p>
    <w:p>
      <w:pPr>
        <w:spacing w:after="0" w:line="37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78"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r>
        <w:rPr>
          <w:rFonts w:ascii="Times New Roman" w:cs="Times New Roman" w:eastAsia="Times New Roman" w:hAnsi="Times New Roman"/>
          <w:sz w:val="17"/>
          <w:szCs w:val="17"/>
          <w:b w:val="1"/>
          <w:bCs w:val="1"/>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71" w:lineRule="exact"/>
        <w:rPr>
          <w:sz w:val="20"/>
          <w:szCs w:val="20"/>
          <w:color w:val="auto"/>
        </w:rPr>
      </w:pPr>
    </w:p>
    <w:p>
      <w:pPr>
        <w:ind w:right="80" w:firstLine="309"/>
        <w:spacing w:after="0" w:line="258"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Annual Report on Form 10-K. These disclosure controls and procedures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CEO and our CFO, to allow timely decisions regarding required disclosures. Based on that evaluation, our Chief Executive Officer and our Chief Financial Officer have concluded that, as of December 31, 2025,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Report on Internal Control over Financial Reporting</w:t>
      </w:r>
    </w:p>
    <w:p>
      <w:pPr>
        <w:spacing w:after="0" w:line="171"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Company's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with the participation of our CEO and our CFO, assessed the effectiveness of our internal control over financial reporting as of December 31, 2025.</w:t>
      </w:r>
    </w:p>
    <w:p>
      <w:pPr>
        <w:spacing w:after="0" w:line="119" w:lineRule="exact"/>
        <w:rPr>
          <w:sz w:val="20"/>
          <w:szCs w:val="20"/>
          <w:color w:val="auto"/>
        </w:rPr>
      </w:pPr>
    </w:p>
    <w:p>
      <w:pPr>
        <w:ind w:right="160" w:firstLine="309"/>
        <w:spacing w:after="0" w:line="262" w:lineRule="auto"/>
        <w:rPr>
          <w:sz w:val="20"/>
          <w:szCs w:val="20"/>
          <w:color w:val="auto"/>
        </w:rPr>
      </w:pPr>
      <w:r>
        <w:rPr>
          <w:rFonts w:ascii="Times New Roman" w:cs="Times New Roman" w:eastAsia="Times New Roman" w:hAnsi="Times New Roman"/>
          <w:sz w:val="17"/>
          <w:szCs w:val="17"/>
          <w:color w:val="auto"/>
        </w:rPr>
        <w:t xml:space="preserve">Management assessed our internal control over financial reporting as of December 31, 2025 using the criteria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Based on this assessment, our management has concluded that, as of December 31, 2025, our internal control over financial reporting was effective, based on these criteria. PricewaterhouseCoopers LLP, an independent registered public accounting firm, audited the effectiveness of our internal control over financial reporting as of December 31, 2025, as stated within their report which is included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7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on Effectiveness of Disclosure Controls and Procedures</w:t>
      </w:r>
    </w:p>
    <w:p>
      <w:pPr>
        <w:spacing w:after="0" w:line="171"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A system of internal control over financial reporting is intended to provide reasonable assurance regarding the reliability of financial reporting and the preparation of financial statements in accordance with GAAP and no control system, no matter how well designed and operated, can provide absolute assurance. The design of any control system is based in part upon certain assumptions about the likelihood of future events, and there can be no assurance that any design will succeed in achieving its stated goals under all potential future conditions. Because of its inherent limitations, internal control over financial reporting may not prevent or detect financial statement errors and misstatements. Also, projection of any evaluation of effectiveness to future periods is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69" w:lineRule="exact"/>
        <w:rPr>
          <w:sz w:val="20"/>
          <w:szCs w:val="20"/>
          <w:color w:val="auto"/>
        </w:rPr>
      </w:pPr>
    </w:p>
    <w:p>
      <w:pPr>
        <w:ind w:right="360" w:firstLine="309"/>
        <w:spacing w:after="0" w:line="287" w:lineRule="auto"/>
        <w:rPr>
          <w:sz w:val="20"/>
          <w:szCs w:val="20"/>
          <w:color w:val="auto"/>
        </w:rPr>
      </w:pPr>
      <w:r>
        <w:rPr>
          <w:rFonts w:ascii="Times New Roman" w:cs="Times New Roman" w:eastAsia="Times New Roman" w:hAnsi="Times New Roman"/>
          <w:sz w:val="17"/>
          <w:szCs w:val="17"/>
          <w:color w:val="auto"/>
        </w:rPr>
        <w:t>During the quarter ended December 31, 2025, no director or officer of the Company informed us of the adoption or termination of a “Rule 10b5-1 trading arrangement” or a “non-Rule 10b5-1 trading arrangement” (as each term is defined in Item 408 of Regulation S-K).</w:t>
      </w:r>
    </w:p>
    <w:p>
      <w:pPr>
        <w:spacing w:after="0" w:line="100" w:lineRule="exact"/>
        <w:rPr>
          <w:sz w:val="20"/>
          <w:szCs w:val="20"/>
          <w:color w:val="auto"/>
        </w:rPr>
      </w:pPr>
    </w:p>
    <w:p>
      <w:pPr>
        <w:ind w:right="280" w:firstLine="309"/>
        <w:spacing w:after="0" w:line="270" w:lineRule="auto"/>
        <w:rPr>
          <w:sz w:val="20"/>
          <w:szCs w:val="20"/>
          <w:color w:val="auto"/>
        </w:rPr>
      </w:pPr>
      <w:r>
        <w:rPr>
          <w:rFonts w:ascii="Times New Roman" w:cs="Times New Roman" w:eastAsia="Times New Roman" w:hAnsi="Times New Roman"/>
          <w:sz w:val="17"/>
          <w:szCs w:val="17"/>
          <w:color w:val="auto"/>
        </w:rPr>
        <w:t>On February 25, 2026, the Compensation Committee approved an additional discretionary cash bonuses for each of Kevin Waters, the Company’s Chief Financial Officer, of approximately $45,000, and Alaleh Nouri, the Company’s Chief Legal Officer and Corporate Secretary, of approximately $39,000, among other direct reports of the Chief Executive</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Officer, to support business and leadership continuity during the Company’s leadership transition, each payable on March 20, 2026, subject to continued employment through the payment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80"/>
          </w:cols>
          <w:pgMar w:left="320" w:top="278" w:right="10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69" w:lineRule="exact"/>
        <w:rPr>
          <w:sz w:val="20"/>
          <w:szCs w:val="20"/>
          <w:color w:val="auto"/>
        </w:rPr>
      </w:pPr>
    </w:p>
    <w:p>
      <w:pPr>
        <w:ind w:right="420" w:firstLine="309"/>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concerning our directors and executive officers is incorporated by reference to the sections of our Proxy Statement under the headings “Proposal 1 — Election of Directors,” “Board Committees and Meetings,” “Stockholder Communications with the Board of Directors,” “Management” and if applicable, “Delinquent Section 16(a) Reports.”</w:t>
      </w:r>
    </w:p>
    <w:p>
      <w:pPr>
        <w:spacing w:after="0" w:line="11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Our written Code of Ethics applies to all of our directors and employees, including our executive officers, including without limitation our principal executive officer, principal financial officer, principal accounting officer or controller or persons performing similar functions. The Code of Ethics is available on our website at procept-biorobotics.com in the Investors section under “Corporate Governance.” Changes to or waivers of the Code of Ethics will be disclosed on the same website. We intend to satisfy the disclosure requirement under Item 5.05 of Form 8-K regarding any amendment to, or waiver of, any provision of the Code of Ethics by disclosing such information on the same website.</w:t>
      </w:r>
    </w:p>
    <w:p>
      <w:pPr>
        <w:spacing w:after="0" w:line="123" w:lineRule="exact"/>
        <w:rPr>
          <w:sz w:val="20"/>
          <w:szCs w:val="20"/>
          <w:color w:val="auto"/>
        </w:rPr>
      </w:pPr>
    </w:p>
    <w:p>
      <w:pPr>
        <w:ind w:right="220" w:firstLine="309"/>
        <w:spacing w:after="0" w:line="270"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19.1 to this Annual Report.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69" w:lineRule="exact"/>
        <w:rPr>
          <w:sz w:val="20"/>
          <w:szCs w:val="20"/>
          <w:color w:val="auto"/>
        </w:rPr>
      </w:pPr>
    </w:p>
    <w:p>
      <w:pPr>
        <w:ind w:right="420" w:firstLine="30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sections of the Proxy Statement under the headings “Executive Compensation,” “Compensation Committee Interlocks and Insider Participation” and “Compensation of Non-Employee Board Members.”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 and Management and Related Stockholder Matters</w:t>
      </w:r>
    </w:p>
    <w:p>
      <w:pPr>
        <w:spacing w:after="0" w:line="169" w:lineRule="exact"/>
        <w:rPr>
          <w:sz w:val="20"/>
          <w:szCs w:val="20"/>
          <w:color w:val="auto"/>
        </w:rPr>
      </w:pPr>
    </w:p>
    <w:p>
      <w:pPr>
        <w:ind w:right="140" w:firstLine="30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sections of the Proxy Statement under the headings “Security Ownership of Certain Beneficial Owners and Management” and “Securities Authorized for Issuance under Equity Compensation Plans.”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Party Transactions</w:t>
      </w:r>
    </w:p>
    <w:p>
      <w:pPr>
        <w:spacing w:after="0" w:line="169" w:lineRule="exact"/>
        <w:rPr>
          <w:sz w:val="20"/>
          <w:szCs w:val="20"/>
          <w:color w:val="auto"/>
        </w:rPr>
      </w:pPr>
    </w:p>
    <w:p>
      <w:pPr>
        <w:ind w:right="500" w:firstLine="30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sections of the Proxy Statement under the headings “Proposal 1 — Election of Directors” and “Certain Relationships and Related Party Transactions.”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169" w:lineRule="exact"/>
        <w:rPr>
          <w:sz w:val="20"/>
          <w:szCs w:val="20"/>
          <w:color w:val="auto"/>
        </w:rPr>
      </w:pPr>
    </w:p>
    <w:p>
      <w:pPr>
        <w:ind w:right="280" w:firstLine="30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section of the Proxy Statement under the heading “Principal Accountant Fees and Services.”</w:t>
      </w:r>
    </w:p>
    <w:p>
      <w:pPr>
        <w:spacing w:after="0" w:line="100"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With the exception of the information specifically incorporated by reference in Part III to this Annual Report from our Proxy Statement, our Proxy Statement shall not be deemed to be filed as part of this report.</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2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2"/>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73"/>
        </w:trPr>
        <w:tc>
          <w:tcPr>
            <w:tcW w:w="12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3.1</w:t>
            </w:r>
          </w:p>
        </w:tc>
        <w:tc>
          <w:tcPr>
            <w:tcW w:w="100" w:type="dxa"/>
            <w:vAlign w:val="bottom"/>
          </w:tcPr>
          <w:p>
            <w:pPr>
              <w:spacing w:after="0"/>
              <w:rPr>
                <w:sz w:val="15"/>
                <w:szCs w:val="15"/>
                <w:color w:val="auto"/>
              </w:rPr>
            </w:pPr>
          </w:p>
        </w:tc>
        <w:tc>
          <w:tcPr>
            <w:tcW w:w="9280" w:type="dxa"/>
            <w:vAlign w:val="bottom"/>
            <w:gridSpan w:val="20"/>
          </w:tcPr>
          <w:p>
            <w:pPr>
              <w:spacing w:after="0" w:line="17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 xml:space="preserve">Amended and Restated Certificate of Incorporation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3.1 to the registrant’s Current Report on</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Form 8-K (File No. 001-40797) filed on September 21, 2021)</w:t>
            </w:r>
          </w:p>
        </w:tc>
      </w:tr>
      <w:tr>
        <w:trPr>
          <w:trHeight w:val="335"/>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00" w:type="dxa"/>
            <w:vAlign w:val="bottom"/>
          </w:tcPr>
          <w:p>
            <w:pPr>
              <w:spacing w:after="0"/>
              <w:rPr>
                <w:sz w:val="24"/>
                <w:szCs w:val="24"/>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 xml:space="preserve">Amended and Restated Bylaws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3.2 to the registrant’s Current Report on Form 8-K (File No.</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auto"/>
              </w:rPr>
              <w:t>001-40797) filed on September</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21, 2021)</w:t>
            </w:r>
          </w:p>
        </w:tc>
        <w:tc>
          <w:tcPr>
            <w:tcW w:w="46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93"/>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Description of PROCEPT BioRobotics Corporation’s Securities Registered Pursuant to Section 12 of the Securities Exchange Act of</w:t>
              </w:r>
            </w:hyperlink>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14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 xml:space="preserve">1934 </w:t>
              </w:r>
              <w:r>
                <w:rPr>
                  <w:rFonts w:ascii="Times New Roman" w:cs="Times New Roman" w:eastAsia="Times New Roman" w:hAnsi="Times New Roman"/>
                  <w:sz w:val="17"/>
                  <w:szCs w:val="17"/>
                  <w:color w:val="000000"/>
                </w:rPr>
                <w:t>(incorporated by reference to Exhibit 4.1 to the registrant’s annual report on Form 10-K for the year ended December 31, 2021</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(File</w:t>
            </w:r>
          </w:p>
        </w:tc>
        <w:tc>
          <w:tcPr>
            <w:tcW w:w="8920" w:type="dxa"/>
            <w:vAlign w:val="bottom"/>
            <w:gridSpan w:val="19"/>
          </w:tcPr>
          <w:p>
            <w:pPr>
              <w:ind w:left="20"/>
              <w:spacing w:after="0"/>
              <w:rPr>
                <w:sz w:val="20"/>
                <w:szCs w:val="20"/>
                <w:color w:val="auto"/>
              </w:rPr>
            </w:pPr>
            <w:r>
              <w:rPr>
                <w:rFonts w:ascii="Times New Roman" w:cs="Times New Roman" w:eastAsia="Times New Roman" w:hAnsi="Times New Roman"/>
                <w:sz w:val="17"/>
                <w:szCs w:val="17"/>
                <w:color w:val="auto"/>
              </w:rPr>
              <w:t>No. 001-40797))</w:t>
            </w:r>
          </w:p>
        </w:tc>
      </w:tr>
      <w:tr>
        <w:trPr>
          <w:trHeight w:val="215"/>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8"/>
                <w:szCs w:val="18"/>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 xml:space="preserve">Offer Letter, by and between the Registrant and Reza Zadno, Ph.D., dated as of January 31, 2020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auto"/>
              </w:rPr>
              <w:t>10.1 to the registrant’s registration statement on Form S-1 (File No. 333-258898))</w:t>
            </w:r>
          </w:p>
        </w:tc>
        <w:tc>
          <w:tcPr>
            <w:tcW w:w="8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2"/>
                <w:szCs w:val="22"/>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 xml:space="preserve">Offer Letter, by and between the Registrant and Kevin Waters, dated as of August 7, 2018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10.2</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auto"/>
              </w:rPr>
              <w:t>to the registrant’s registration statement on Form S-1 (File No. 333-258898))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2"/>
                <w:szCs w:val="22"/>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 xml:space="preserve">Offer Letter, by and between the Registrant and Hisham Shiblaq, dated as of March 21, 2019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auto"/>
              </w:rPr>
              <w:t>10.3 to the registrant’s registration statement on Form S-1 (File No. 333-258898))</w:t>
            </w: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67"/>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3"/>
                <w:szCs w:val="23"/>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 xml:space="preserve">Offer Letter, by and between the Registrant and Alaleh Nouri, dated as of May 15, 2018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10.18 to</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auto"/>
              </w:rPr>
              <w:t>the registrant’s quarterly report on Form 10-Q for the period ended March 31, 2023 (File</w:t>
            </w: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No. 001-40797))</w:t>
            </w:r>
          </w:p>
        </w:tc>
      </w:tr>
      <w:tr>
        <w:trPr>
          <w:trHeight w:val="293"/>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4"/>
                <w:szCs w:val="24"/>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 xml:space="preserve">Employee Agreement, by and between the Registrant and Larry Wood, dated as of July 23, 2025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auto"/>
              </w:rPr>
              <w:t>10.1 to the registrant’s current report on Form 8-K filed on July 25, 2025 (File No. 001-40797))</w:t>
            </w:r>
          </w:p>
        </w:tc>
        <w:tc>
          <w:tcPr>
            <w:tcW w:w="92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2"/>
                <w:szCs w:val="22"/>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 xml:space="preserve">Amended and Restated 2008 Stock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10.4 to the registrant’s registration statement on Form</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auto"/>
              </w:rPr>
              <w:t>S-1 (File No. 333-258898))</w:t>
            </w:r>
          </w:p>
        </w:tc>
        <w:tc>
          <w:tcPr>
            <w:tcW w:w="5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6"/>
          </w:tcPr>
          <w:p>
            <w:pPr>
              <w:spacing w:after="0"/>
              <w:rPr>
                <w:sz w:val="18"/>
                <w:szCs w:val="18"/>
                <w:color w:val="auto"/>
              </w:rPr>
            </w:pPr>
          </w:p>
        </w:tc>
        <w:tc>
          <w:tcPr>
            <w:tcW w:w="16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10.6(a)+</w:t>
            </w:r>
          </w:p>
        </w:tc>
        <w:tc>
          <w:tcPr>
            <w:tcW w:w="9280" w:type="dxa"/>
            <w:vAlign w:val="bottom"/>
            <w:gridSpan w:val="20"/>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 xml:space="preserve">Form of Stock Option Agreement under the Amended and Restated 2008 Stock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10.4(a) to</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auto"/>
              </w:rPr>
              <w:t>the registrant’s registration statement on Form S-1 (File No. 333-258898))</w:t>
            </w:r>
          </w:p>
        </w:tc>
        <w:tc>
          <w:tcPr>
            <w:tcW w:w="180" w:type="dxa"/>
            <w:vAlign w:val="bottom"/>
          </w:tcPr>
          <w:p>
            <w:pPr>
              <w:spacing w:after="0"/>
              <w:rPr>
                <w:sz w:val="18"/>
                <w:szCs w:val="18"/>
                <w:color w:val="auto"/>
              </w:rPr>
            </w:pPr>
          </w:p>
        </w:tc>
        <w:tc>
          <w:tcPr>
            <w:tcW w:w="1560" w:type="dxa"/>
            <w:vAlign w:val="bottom"/>
            <w:gridSpan w:val="6"/>
          </w:tcPr>
          <w:p>
            <w:pPr>
              <w:spacing w:after="0"/>
              <w:rPr>
                <w:sz w:val="18"/>
                <w:szCs w:val="18"/>
                <w:color w:val="auto"/>
              </w:rPr>
            </w:pPr>
          </w:p>
        </w:tc>
        <w:tc>
          <w:tcPr>
            <w:tcW w:w="16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2"/>
                <w:szCs w:val="22"/>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 xml:space="preserve">Form of Indemnification and Advancement Agreement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10.5 to the registrant’s registration</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auto"/>
              </w:rPr>
              <w:t>statement on Form S-1 (File No. 333-258898))</w:t>
            </w:r>
          </w:p>
        </w:tc>
        <w:tc>
          <w:tcPr>
            <w:tcW w:w="16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560" w:type="dxa"/>
            <w:vAlign w:val="bottom"/>
            <w:gridSpan w:val="6"/>
          </w:tcPr>
          <w:p>
            <w:pPr>
              <w:spacing w:after="0"/>
              <w:rPr>
                <w:sz w:val="18"/>
                <w:szCs w:val="18"/>
                <w:color w:val="auto"/>
              </w:rPr>
            </w:pPr>
          </w:p>
        </w:tc>
        <w:tc>
          <w:tcPr>
            <w:tcW w:w="16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2"/>
                <w:szCs w:val="22"/>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Amended and Restated Exclusive License Agreement, by and between the Registrant and AquaBeam LLC, dated as of September 13,</w:t>
              </w:r>
            </w:hyperlink>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 xml:space="preserve">2019 </w:t>
              </w:r>
              <w:r>
                <w:rPr>
                  <w:rFonts w:ascii="Times New Roman" w:cs="Times New Roman" w:eastAsia="Times New Roman" w:hAnsi="Times New Roman"/>
                  <w:sz w:val="17"/>
                  <w:szCs w:val="17"/>
                  <w:color w:val="000000"/>
                </w:rPr>
                <w:t>(incorporated by reference to Exhibit 10.6 to the registrant’s registration statement on Form S-1 (File No. 333-258898))</w:t>
              </w:r>
            </w:hyperlink>
          </w:p>
        </w:tc>
        <w:tc>
          <w:tcPr>
            <w:tcW w:w="6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r>
      <w:tr>
        <w:trPr>
          <w:trHeight w:val="302"/>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4"/>
                <w:szCs w:val="24"/>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 xml:space="preserve">Lease, by and between the Registrant and 150-180 Baytech Drive CA Owner, LLC, dated December 31,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auto"/>
              </w:rPr>
              <w:t>reference to Exhibit 10.9 to the registrant’s annual report on Form 10-K for the year ended December 31, 2021</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(File No. 001-40797))</w:t>
            </w: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22"/>
                <w:szCs w:val="22"/>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Non-Employee Director Compensation Program</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r>
      <w:tr>
        <w:trPr>
          <w:trHeight w:val="315"/>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24"/>
                <w:szCs w:val="24"/>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 xml:space="preserve">2021 Equity Incentive Award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10.11 to the registrant’s registration statement on Form S-1</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auto"/>
              </w:rPr>
              <w:t>(File No. 333-258898))</w:t>
            </w:r>
          </w:p>
        </w:tc>
        <w:tc>
          <w:tcPr>
            <w:tcW w:w="3040" w:type="dxa"/>
            <w:vAlign w:val="bottom"/>
            <w:gridSpan w:val="5"/>
          </w:tcPr>
          <w:p>
            <w:pPr>
              <w:spacing w:after="0"/>
              <w:rPr>
                <w:sz w:val="18"/>
                <w:szCs w:val="18"/>
                <w:color w:val="auto"/>
              </w:rPr>
            </w:pPr>
          </w:p>
        </w:tc>
        <w:tc>
          <w:tcPr>
            <w:tcW w:w="580" w:type="dxa"/>
            <w:vAlign w:val="bottom"/>
            <w:gridSpan w:val="2"/>
          </w:tcPr>
          <w:p>
            <w:pPr>
              <w:spacing w:after="0"/>
              <w:rPr>
                <w:sz w:val="18"/>
                <w:szCs w:val="18"/>
                <w:color w:val="auto"/>
              </w:rPr>
            </w:pPr>
          </w:p>
        </w:tc>
        <w:tc>
          <w:tcPr>
            <w:tcW w:w="3280" w:type="dxa"/>
            <w:vAlign w:val="bottom"/>
            <w:gridSpan w:val="9"/>
          </w:tcPr>
          <w:p>
            <w:pPr>
              <w:spacing w:after="0"/>
              <w:rPr>
                <w:sz w:val="18"/>
                <w:szCs w:val="18"/>
                <w:color w:val="auto"/>
              </w:rPr>
            </w:pPr>
          </w:p>
        </w:tc>
      </w:tr>
      <w:tr>
        <w:trPr>
          <w:trHeight w:val="318"/>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10.11(a)+</w:t>
            </w:r>
          </w:p>
        </w:tc>
        <w:tc>
          <w:tcPr>
            <w:tcW w:w="9280" w:type="dxa"/>
            <w:vAlign w:val="bottom"/>
            <w:gridSpan w:val="20"/>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 xml:space="preserve">Form of Stock Option Agreement under the 2021 Equity Incentive Award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10.11(a) to the</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auto"/>
              </w:rPr>
              <w:t>registrant’s registration statement on Form S-1 (File No. 333-258898))</w:t>
            </w:r>
          </w:p>
        </w:tc>
        <w:tc>
          <w:tcPr>
            <w:tcW w:w="580" w:type="dxa"/>
            <w:vAlign w:val="bottom"/>
            <w:gridSpan w:val="2"/>
          </w:tcPr>
          <w:p>
            <w:pPr>
              <w:spacing w:after="0"/>
              <w:rPr>
                <w:sz w:val="18"/>
                <w:szCs w:val="18"/>
                <w:color w:val="auto"/>
              </w:rPr>
            </w:pPr>
          </w:p>
        </w:tc>
        <w:tc>
          <w:tcPr>
            <w:tcW w:w="3280" w:type="dxa"/>
            <w:vAlign w:val="bottom"/>
            <w:gridSpan w:val="9"/>
          </w:tcPr>
          <w:p>
            <w:pPr>
              <w:spacing w:after="0"/>
              <w:rPr>
                <w:sz w:val="18"/>
                <w:szCs w:val="18"/>
                <w:color w:val="auto"/>
              </w:rPr>
            </w:pPr>
          </w:p>
        </w:tc>
      </w:tr>
      <w:tr>
        <w:trPr>
          <w:trHeight w:val="293"/>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10.11(b)+</w:t>
            </w:r>
          </w:p>
        </w:tc>
        <w:tc>
          <w:tcPr>
            <w:tcW w:w="9280" w:type="dxa"/>
            <w:vAlign w:val="bottom"/>
            <w:gridSpan w:val="20"/>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 xml:space="preserve">Form of Restricted Stock Unit Agreement under the 2021 Equity Incentive Award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10.11(b)</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auto"/>
              </w:rPr>
              <w:t>to the registrant’s registration statement on Form S-1 (File No. 333-258898))</w:t>
            </w:r>
          </w:p>
        </w:tc>
        <w:tc>
          <w:tcPr>
            <w:tcW w:w="3280" w:type="dxa"/>
            <w:vAlign w:val="bottom"/>
            <w:gridSpan w:val="9"/>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20"/>
          </w:cols>
          <w:pgMar w:left="320" w:top="278" w:right="9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40" w:right="220" w:hanging="1059"/>
        <w:spacing w:after="0" w:line="271" w:lineRule="auto"/>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10.11(c)+</w:t>
      </w:r>
      <w:r>
        <w:rPr>
          <w:sz w:val="20"/>
          <w:szCs w:val="20"/>
          <w:color w:val="auto"/>
        </w:rPr>
        <w:tab/>
      </w:r>
      <w:hyperlink r:id="rId161">
        <w:r>
          <w:rPr>
            <w:rFonts w:ascii="Times New Roman" w:cs="Times New Roman" w:eastAsia="Times New Roman" w:hAnsi="Times New Roman"/>
            <w:sz w:val="17"/>
            <w:szCs w:val="17"/>
            <w:u w:val="single" w:color="auto"/>
            <w:color w:val="0000FF"/>
          </w:rPr>
          <w:t xml:space="preserve">Form of Performance Stock Unit Agreement under the 2021 Equity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10.2 to the</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registrant’s quarterly report on Form 10-Q for the period ending March 31, 2024 (File No. 001-40797))</w:t>
      </w:r>
    </w:p>
    <w:p>
      <w:pPr>
        <w:spacing w:after="0" w:line="87" w:lineRule="exact"/>
        <w:rPr>
          <w:sz w:val="20"/>
          <w:szCs w:val="20"/>
          <w:color w:val="auto"/>
        </w:rPr>
      </w:pPr>
    </w:p>
    <w:p>
      <w:pPr>
        <w:ind w:left="1340" w:right="220" w:hanging="1107"/>
        <w:spacing w:after="0" w:line="271" w:lineRule="auto"/>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10.11(d)+#</w:t>
      </w:r>
      <w:r>
        <w:rPr>
          <w:sz w:val="20"/>
          <w:szCs w:val="20"/>
          <w:color w:val="auto"/>
        </w:rPr>
        <w:tab/>
      </w:r>
      <w:hyperlink r:id="rId162">
        <w:r>
          <w:rPr>
            <w:rFonts w:ascii="Times New Roman" w:cs="Times New Roman" w:eastAsia="Times New Roman" w:hAnsi="Times New Roman"/>
            <w:sz w:val="17"/>
            <w:szCs w:val="17"/>
            <w:u w:val="single" w:color="auto"/>
            <w:color w:val="0000FF"/>
          </w:rPr>
          <w:t xml:space="preserve">Form of Performance Stock Unit Agreement under the 2021 Equity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10.1 to the</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registrant’s quarterly report on Form 10-Q for the period ending March 31, 2025 (File No. 001-40797))</w:t>
      </w:r>
    </w:p>
    <w:p>
      <w:pPr>
        <w:spacing w:after="0" w:line="87" w:lineRule="exact"/>
        <w:rPr>
          <w:sz w:val="20"/>
          <w:szCs w:val="20"/>
          <w:color w:val="auto"/>
        </w:rPr>
      </w:pPr>
    </w:p>
    <w:p>
      <w:pPr>
        <w:ind w:left="1340" w:right="260" w:hanging="967"/>
        <w:spacing w:after="0" w:line="271" w:lineRule="auto"/>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10.12+</w:t>
      </w:r>
      <w:r>
        <w:rPr>
          <w:sz w:val="20"/>
          <w:szCs w:val="20"/>
          <w:color w:val="auto"/>
        </w:rPr>
        <w:tab/>
      </w:r>
      <w:hyperlink r:id="rId163">
        <w:r>
          <w:rPr>
            <w:rFonts w:ascii="Times New Roman" w:cs="Times New Roman" w:eastAsia="Times New Roman" w:hAnsi="Times New Roman"/>
            <w:sz w:val="17"/>
            <w:szCs w:val="17"/>
            <w:u w:val="single" w:color="auto"/>
            <w:color w:val="0000FF"/>
          </w:rPr>
          <w:t xml:space="preserve">Amended and Restated 2021 Employee Stock Purchase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10.1 to the registrant’s quarterly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report on Form 10-Q for the period ending September 30, 2024 (File No. 001-40797))</w:t>
      </w:r>
    </w:p>
    <w:p>
      <w:pPr>
        <w:spacing w:after="0" w:line="87" w:lineRule="exact"/>
        <w:rPr>
          <w:sz w:val="20"/>
          <w:szCs w:val="20"/>
          <w:color w:val="auto"/>
        </w:rPr>
      </w:pPr>
    </w:p>
    <w:p>
      <w:pPr>
        <w:ind w:left="380"/>
        <w:spacing w:after="0"/>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10.14+</w:t>
      </w:r>
      <w:r>
        <w:rPr>
          <w:sz w:val="20"/>
          <w:szCs w:val="20"/>
          <w:color w:val="auto"/>
        </w:rPr>
        <w:tab/>
      </w:r>
      <w:hyperlink r:id="rId164">
        <w:r>
          <w:rPr>
            <w:rFonts w:ascii="Times New Roman" w:cs="Times New Roman" w:eastAsia="Times New Roman" w:hAnsi="Times New Roman"/>
            <w:sz w:val="17"/>
            <w:szCs w:val="17"/>
            <w:u w:val="single" w:color="auto"/>
            <w:color w:val="0000FF"/>
          </w:rPr>
          <w:t>Amended and Restated Change of Control Severance Agreement, by and between the Registrant and Kevin Waters, dated September</w:t>
        </w:r>
      </w:hyperlink>
    </w:p>
    <w:p>
      <w:pPr>
        <w:spacing w:after="0" w:line="29" w:lineRule="exact"/>
        <w:rPr>
          <w:sz w:val="20"/>
          <w:szCs w:val="20"/>
          <w:color w:val="auto"/>
        </w:rPr>
      </w:pPr>
    </w:p>
    <w:p>
      <w:pPr>
        <w:ind w:left="1340"/>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u w:val="single" w:color="auto"/>
            <w:color w:val="0000FF"/>
          </w:rPr>
          <w:t>17, 2021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 Exhibit 10.14 to the registrant’s registration statement on Form S-1 (File No. 333-258898))</w:t>
        </w:r>
      </w:hyperlink>
    </w:p>
    <w:p>
      <w:pPr>
        <w:spacing w:after="0" w:line="112" w:lineRule="exact"/>
        <w:rPr>
          <w:sz w:val="20"/>
          <w:szCs w:val="20"/>
          <w:color w:val="auto"/>
        </w:rPr>
      </w:pPr>
    </w:p>
    <w:p>
      <w:pPr>
        <w:jc w:val="right"/>
        <w:ind w:right="140"/>
        <w:spacing w:after="0"/>
        <w:tabs>
          <w:tab w:leader="none" w:pos="9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10.16+</w:t>
      </w:r>
      <w:r>
        <w:rPr>
          <w:sz w:val="20"/>
          <w:szCs w:val="20"/>
          <w:color w:val="auto"/>
        </w:rPr>
        <w:tab/>
      </w:r>
      <w:hyperlink r:id="rId165">
        <w:r>
          <w:rPr>
            <w:rFonts w:ascii="Times New Roman" w:cs="Times New Roman" w:eastAsia="Times New Roman" w:hAnsi="Times New Roman"/>
            <w:sz w:val="17"/>
            <w:szCs w:val="17"/>
            <w:u w:val="single" w:color="auto"/>
            <w:color w:val="0000FF"/>
          </w:rPr>
          <w:t>Amended and Restated Change of Control Severance Agreement, by and between the Registrant and Alaleh Nouri, dated September</w:t>
        </w:r>
      </w:hyperlink>
    </w:p>
    <w:p>
      <w:pPr>
        <w:jc w:val="right"/>
        <w:ind w:right="100"/>
        <w:spacing w:after="0" w:line="221" w:lineRule="auto"/>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u w:val="single" w:color="auto"/>
            <w:color w:val="0000FF"/>
          </w:rPr>
          <w:t>17, 2021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 Exhibit 10.19 to the registrant’s quarterly report of Form 10-Q for the period ended March 31,</w:t>
        </w:r>
      </w:hyperlink>
    </w:p>
    <w:p>
      <w:pPr>
        <w:ind w:left="1340"/>
        <w:spacing w:after="0"/>
        <w:rPr>
          <w:sz w:val="20"/>
          <w:szCs w:val="20"/>
          <w:color w:val="auto"/>
        </w:rPr>
      </w:pPr>
      <w:r>
        <w:rPr>
          <w:rFonts w:ascii="Times New Roman" w:cs="Times New Roman" w:eastAsia="Times New Roman" w:hAnsi="Times New Roman"/>
          <w:sz w:val="17"/>
          <w:szCs w:val="17"/>
          <w:color w:val="auto"/>
        </w:rPr>
        <w:t>2023 (File No. 001-40797))</w:t>
      </w:r>
    </w:p>
    <w:p>
      <w:pPr>
        <w:spacing w:after="0" w:line="96" w:lineRule="exact"/>
        <w:rPr>
          <w:sz w:val="20"/>
          <w:szCs w:val="20"/>
          <w:color w:val="auto"/>
        </w:rPr>
      </w:pPr>
    </w:p>
    <w:p>
      <w:pPr>
        <w:ind w:left="1340" w:right="160" w:hanging="919"/>
        <w:spacing w:after="0" w:line="263" w:lineRule="auto"/>
        <w:tabs>
          <w:tab w:leader="none" w:pos="13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10.17</w:t>
      </w:r>
      <w:r>
        <w:rPr>
          <w:sz w:val="20"/>
          <w:szCs w:val="20"/>
          <w:color w:val="auto"/>
        </w:rPr>
        <w:tab/>
      </w:r>
      <w:hyperlink r:id="rId166">
        <w:r>
          <w:rPr>
            <w:rFonts w:ascii="Times New Roman" w:cs="Times New Roman" w:eastAsia="Times New Roman" w:hAnsi="Times New Roman"/>
            <w:sz w:val="17"/>
            <w:szCs w:val="17"/>
            <w:u w:val="single" w:color="auto"/>
            <w:color w:val="0000FF"/>
          </w:rPr>
          <w:t>Loan and Security Agreement, by and among Canadian Imperial Bank of Commerce, the Registration, and each Borrower and</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Guarantor from time to time, dated as of October 6, 2022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(incorporated by reference to Exhibit 10.1 to the registrant’s current </w:t>
        </w:r>
      </w:hyperlink>
      <w:r>
        <w:rPr>
          <w:rFonts w:ascii="Times New Roman" w:cs="Times New Roman" w:eastAsia="Times New Roman" w:hAnsi="Times New Roman"/>
          <w:sz w:val="17"/>
          <w:szCs w:val="17"/>
          <w:color w:val="0000FF"/>
        </w:rPr>
        <w:t>report</w:t>
      </w:r>
    </w:p>
    <w:p>
      <w:pPr>
        <w:sectPr>
          <w:pgSz w:w="11900" w:h="16838" w:orient="portrait"/>
          <w:cols w:equalWidth="0" w:num="1">
            <w:col w:w="10600"/>
          </w:cols>
          <w:pgMar w:left="320" w:top="278" w:right="979" w:bottom="1440" w:gutter="0" w:footer="0" w:header="0"/>
        </w:sectPr>
      </w:pP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10.17(a)</w:t>
      </w: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10.17(b)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 Form 8-K filed on October 10, 2022 (File No. 001-40797))</w:t>
      </w:r>
    </w:p>
    <w:p>
      <w:pPr>
        <w:spacing w:after="0" w:line="123" w:lineRule="exact"/>
        <w:rPr>
          <w:sz w:val="20"/>
          <w:szCs w:val="20"/>
          <w:color w:val="auto"/>
        </w:rPr>
      </w:pPr>
    </w:p>
    <w:p>
      <w:pPr>
        <w:jc w:val="both"/>
        <w:ind w:right="140"/>
        <w:spacing w:after="0" w:line="255" w:lineRule="auto"/>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u w:val="single" w:color="auto"/>
            <w:color w:val="0000FF"/>
          </w:rPr>
          <w:t>First Amendment to Loan and Security Agreement, by and between Canadian Imperial Bank of Commerce and the Registrant, dated</w:t>
        </w:r>
      </w:hyperlink>
      <w:r>
        <w:rPr>
          <w:rFonts w:ascii="Times New Roman" w:cs="Times New Roman" w:eastAsia="Times New Roman" w:hAnsi="Times New Roman"/>
          <w:sz w:val="17"/>
          <w:szCs w:val="17"/>
          <w:u w:val="single" w:color="auto"/>
          <w:color w:val="0000FF"/>
        </w:rPr>
        <w:t xml:space="preserve"> </w:t>
      </w:r>
      <w:hyperlink r:id="rId167">
        <w:r>
          <w:rPr>
            <w:rFonts w:ascii="Times New Roman" w:cs="Times New Roman" w:eastAsia="Times New Roman" w:hAnsi="Times New Roman"/>
            <w:sz w:val="17"/>
            <w:szCs w:val="17"/>
            <w:u w:val="single" w:color="auto"/>
            <w:color w:val="0000FF"/>
          </w:rPr>
          <w:t>June 1, 2023</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 Exhibit 10.1 to the registrant’s current report on Form 8-K filed on June 2, 2023 (File No.</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001-40797))</w:t>
      </w:r>
    </w:p>
    <w:p>
      <w:pPr>
        <w:spacing w:after="0" w:line="123" w:lineRule="exact"/>
        <w:rPr>
          <w:sz w:val="20"/>
          <w:szCs w:val="20"/>
          <w:color w:val="auto"/>
        </w:rPr>
      </w:pPr>
    </w:p>
    <w:p>
      <w:pPr>
        <w:ind w:right="40"/>
        <w:spacing w:after="0" w:line="255" w:lineRule="auto"/>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u w:val="single" w:color="auto"/>
            <w:color w:val="0000FF"/>
          </w:rPr>
          <w:t>Second Amendment to Loan and Security Agreement, by and between Canadian Imperial Bank of Commerce and the Registrant,</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dated August 6, 2025</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(incorporated by reference to Exhibit 10.1 to the registrant’s quarterly report on Form 10-Q for the period </w:t>
        </w:r>
      </w:hyperlink>
      <w:r>
        <w:rPr>
          <w:rFonts w:ascii="Times New Roman" w:cs="Times New Roman" w:eastAsia="Times New Roman" w:hAnsi="Times New Roman"/>
          <w:sz w:val="17"/>
          <w:szCs w:val="17"/>
          <w:color w:val="0000FF"/>
        </w:rPr>
        <w:t>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2025 (File No. 001-40797))</w:t>
      </w:r>
    </w:p>
    <w:p>
      <w:pPr>
        <w:spacing w:after="0" w:line="200" w:lineRule="exact"/>
        <w:rPr>
          <w:sz w:val="20"/>
          <w:szCs w:val="20"/>
          <w:color w:val="auto"/>
        </w:rPr>
      </w:pPr>
    </w:p>
    <w:p>
      <w:pPr>
        <w:sectPr>
          <w:pgSz w:w="11900" w:h="16838" w:orient="portrait"/>
          <w:cols w:equalWidth="0" w:num="2">
            <w:col w:w="920" w:space="420"/>
            <w:col w:w="9260"/>
          </w:cols>
          <w:pgMar w:left="320" w:top="278" w:right="979" w:bottom="1440" w:gutter="0" w:footer="0" w:header="0"/>
          <w:type w:val="continuous"/>
        </w:sectPr>
      </w:pPr>
    </w:p>
    <w:p>
      <w:pPr>
        <w:spacing w:after="0" w:line="26" w:lineRule="exact"/>
        <w:rPr>
          <w:sz w:val="20"/>
          <w:szCs w:val="20"/>
          <w:color w:val="auto"/>
        </w:rPr>
      </w:pPr>
    </w:p>
    <w:p>
      <w:pPr>
        <w:ind w:left="1340" w:right="100" w:hanging="919"/>
        <w:spacing w:after="0" w:line="271" w:lineRule="auto"/>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10.18</w:t>
      </w:r>
      <w:r>
        <w:rPr>
          <w:sz w:val="20"/>
          <w:szCs w:val="20"/>
          <w:color w:val="auto"/>
        </w:rPr>
        <w:tab/>
      </w:r>
      <w:hyperlink r:id="rId169">
        <w:r>
          <w:rPr>
            <w:rFonts w:ascii="Times New Roman" w:cs="Times New Roman" w:eastAsia="Times New Roman" w:hAnsi="Times New Roman"/>
            <w:sz w:val="17"/>
            <w:szCs w:val="17"/>
            <w:u w:val="single" w:color="auto"/>
            <w:color w:val="0000FF"/>
          </w:rPr>
          <w:t xml:space="preserve">Form of Change in Control and Severance Agreement non-CEO.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10.1 to the registrant’s current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report on Form 8-K filed on September 18, 2025 (File No. 001-40797))</w:t>
      </w:r>
    </w:p>
    <w:p>
      <w:pPr>
        <w:sectPr>
          <w:pgSz w:w="11900" w:h="16838" w:orient="portrait"/>
          <w:cols w:equalWidth="0" w:num="1">
            <w:col w:w="10600"/>
          </w:cols>
          <w:pgMar w:left="320" w:top="278" w:right="979" w:bottom="1440" w:gutter="0" w:footer="0" w:header="0"/>
          <w:type w:val="continuous"/>
        </w:sectPr>
      </w:pP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10.19#</w:t>
      </w:r>
    </w:p>
    <w:p>
      <w:pPr>
        <w:spacing w:after="0" w:line="200" w:lineRule="exact"/>
        <w:rPr>
          <w:sz w:val="20"/>
          <w:szCs w:val="20"/>
          <w:color w:val="auto"/>
        </w:rPr>
      </w:pPr>
    </w:p>
    <w:p>
      <w:pPr>
        <w:spacing w:after="0" w:line="3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10.20+</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55" w:lineRule="auto"/>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u w:val="single" w:color="auto"/>
            <w:color w:val="0000FF"/>
          </w:rPr>
          <w:t>Confidential Exclusive Patent License and Covenant Not to Sue, by and between the Registrant and HydroCision, Inc., dated March</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14, 2019</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(incorporated by reference to Exhibit 10.7(d) to the registrant’s annual report on Form 10-K for the year ended December </w:t>
        </w:r>
      </w:hyperlink>
      <w:r>
        <w:rPr>
          <w:rFonts w:ascii="Times New Roman" w:cs="Times New Roman" w:eastAsia="Times New Roman" w:hAnsi="Times New Roman"/>
          <w:sz w:val="17"/>
          <w:szCs w:val="17"/>
          <w:color w:val="0000FF"/>
        </w:rPr>
        <w:t>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 (File No. 001-40797))</w:t>
      </w:r>
    </w:p>
    <w:p>
      <w:pPr>
        <w:spacing w:after="0" w:line="123" w:lineRule="exact"/>
        <w:rPr>
          <w:sz w:val="20"/>
          <w:szCs w:val="20"/>
          <w:color w:val="auto"/>
        </w:rPr>
      </w:pPr>
    </w:p>
    <w:p>
      <w:pPr>
        <w:ind w:right="440"/>
        <w:spacing w:after="0" w:line="271" w:lineRule="auto"/>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u w:val="single" w:color="auto"/>
            <w:color w:val="0000FF"/>
          </w:rPr>
          <w:t>Transition Consulting and Retirement Agreement, by and between the Registrant and Reza Zadno</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Exhibit 10.2 to the registrant’s current report on Form 8-K filed on July 23, 2025 (File No. 001-40797))</w:t>
      </w:r>
    </w:p>
    <w:p>
      <w:pPr>
        <w:spacing w:after="0" w:line="87" w:lineRule="exact"/>
        <w:rPr>
          <w:sz w:val="20"/>
          <w:szCs w:val="20"/>
          <w:color w:val="auto"/>
        </w:rPr>
      </w:pPr>
    </w:p>
    <w:p>
      <w:pPr>
        <w:sectPr>
          <w:pgSz w:w="11900" w:h="16838" w:orient="portrait"/>
          <w:cols w:equalWidth="0" w:num="2">
            <w:col w:w="860" w:space="480"/>
            <w:col w:w="9260"/>
          </w:cols>
          <w:pgMar w:left="320" w:top="278" w:right="979" w:bottom="1440" w:gutter="0" w:footer="0" w:header="0"/>
          <w:type w:val="continuous"/>
        </w:sectPr>
      </w:pPr>
    </w:p>
    <w:tbl>
      <w:tblPr>
        <w:tblLayout w:type="fixed"/>
        <w:tblInd w:w="420" w:type="dxa"/>
        <w:tblCellMar>
          <w:top w:w="0" w:type="dxa"/>
          <w:left w:w="0" w:type="dxa"/>
          <w:bottom w:w="0" w:type="dxa"/>
          <w:right w:w="0" w:type="dxa"/>
        </w:tblCellMar>
      </w:tblPr>
      <w:tr>
        <w:trPr>
          <w:trHeight w:val="197"/>
        </w:trPr>
        <w:tc>
          <w:tcPr>
            <w:tcW w:w="92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19.1</w:t>
            </w:r>
          </w:p>
        </w:tc>
        <w:tc>
          <w:tcPr>
            <w:tcW w:w="9200" w:type="dxa"/>
            <w:vAlign w:val="bottom"/>
            <w:gridSpan w:val="7"/>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 xml:space="preserve">Insider Trading Compliance Policy and Procedures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19.1 to the registrant’s annual report on</w:t>
            </w:r>
          </w:p>
        </w:tc>
      </w:tr>
      <w:tr>
        <w:trPr>
          <w:trHeight w:val="20"/>
        </w:trPr>
        <w:tc>
          <w:tcPr>
            <w:tcW w:w="9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Form 10-K/A for the year ended December 31, 2024 (File No. 001-40797))</w:t>
            </w:r>
          </w:p>
        </w:tc>
      </w:tr>
      <w:tr>
        <w:trPr>
          <w:trHeight w:val="293"/>
        </w:trPr>
        <w:tc>
          <w:tcPr>
            <w:tcW w:w="920" w:type="dxa"/>
            <w:vAlign w:val="bottom"/>
          </w:tcPr>
          <w:p>
            <w:pPr>
              <w:jc w:val="center"/>
              <w:ind w:right="434"/>
              <w:spacing w:after="0"/>
              <w:rPr>
                <w:sz w:val="20"/>
                <w:szCs w:val="20"/>
                <w:color w:val="auto"/>
              </w:rPr>
            </w:pPr>
            <w:r>
              <w:rPr>
                <w:rFonts w:ascii="Times New Roman" w:cs="Times New Roman" w:eastAsia="Times New Roman" w:hAnsi="Times New Roman"/>
                <w:sz w:val="17"/>
                <w:szCs w:val="17"/>
                <w:color w:val="auto"/>
              </w:rPr>
              <w:t>21.1*</w:t>
            </w:r>
          </w:p>
        </w:tc>
        <w:tc>
          <w:tcPr>
            <w:tcW w:w="92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List of subsidiaries of the Registrant</w:t>
            </w:r>
          </w:p>
        </w:tc>
      </w:tr>
      <w:tr>
        <w:trPr>
          <w:trHeight w:val="20"/>
        </w:trPr>
        <w:tc>
          <w:tcPr>
            <w:tcW w:w="9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920" w:type="dxa"/>
            <w:vAlign w:val="bottom"/>
          </w:tcPr>
          <w:p>
            <w:pPr>
              <w:jc w:val="center"/>
              <w:ind w:right="434"/>
              <w:spacing w:after="0"/>
              <w:rPr>
                <w:sz w:val="20"/>
                <w:szCs w:val="20"/>
                <w:color w:val="auto"/>
              </w:rPr>
            </w:pPr>
            <w:r>
              <w:rPr>
                <w:rFonts w:ascii="Times New Roman" w:cs="Times New Roman" w:eastAsia="Times New Roman" w:hAnsi="Times New Roman"/>
                <w:sz w:val="17"/>
                <w:szCs w:val="17"/>
                <w:color w:val="auto"/>
              </w:rPr>
              <w:t>23.1*</w:t>
            </w:r>
          </w:p>
        </w:tc>
        <w:tc>
          <w:tcPr>
            <w:tcW w:w="6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Consent of PricewaterhouseCoopers LLP, independent registered public accounting firm.</w:t>
            </w:r>
          </w:p>
        </w:tc>
        <w:tc>
          <w:tcPr>
            <w:tcW w:w="3060" w:type="dxa"/>
            <w:vAlign w:val="bottom"/>
            <w:gridSpan w:val="3"/>
          </w:tcPr>
          <w:p>
            <w:pPr>
              <w:spacing w:after="0"/>
              <w:rPr>
                <w:sz w:val="24"/>
                <w:szCs w:val="24"/>
                <w:color w:val="auto"/>
              </w:rPr>
            </w:pPr>
          </w:p>
        </w:tc>
      </w:tr>
      <w:tr>
        <w:trPr>
          <w:trHeight w:val="329"/>
        </w:trPr>
        <w:tc>
          <w:tcPr>
            <w:tcW w:w="920" w:type="dxa"/>
            <w:vAlign w:val="bottom"/>
          </w:tcPr>
          <w:p>
            <w:pPr>
              <w:jc w:val="center"/>
              <w:ind w:right="434"/>
              <w:spacing w:after="0"/>
              <w:rPr>
                <w:sz w:val="20"/>
                <w:szCs w:val="20"/>
                <w:color w:val="auto"/>
              </w:rPr>
            </w:pPr>
            <w:r>
              <w:rPr>
                <w:rFonts w:ascii="Times New Roman" w:cs="Times New Roman" w:eastAsia="Times New Roman" w:hAnsi="Times New Roman"/>
                <w:sz w:val="17"/>
                <w:szCs w:val="17"/>
                <w:color w:val="auto"/>
              </w:rPr>
              <w:t>24.1*</w:t>
            </w:r>
          </w:p>
        </w:tc>
        <w:tc>
          <w:tcPr>
            <w:tcW w:w="92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Power of Attorney (included on signature page).</w:t>
            </w:r>
          </w:p>
        </w:tc>
      </w:tr>
      <w:tr>
        <w:trPr>
          <w:trHeight w:val="270"/>
        </w:trPr>
        <w:tc>
          <w:tcPr>
            <w:tcW w:w="920" w:type="dxa"/>
            <w:vAlign w:val="bottom"/>
          </w:tcPr>
          <w:p>
            <w:pPr>
              <w:jc w:val="center"/>
              <w:ind w:right="434"/>
              <w:spacing w:after="0"/>
              <w:rPr>
                <w:sz w:val="20"/>
                <w:szCs w:val="20"/>
                <w:color w:val="auto"/>
              </w:rPr>
            </w:pPr>
            <w:r>
              <w:rPr>
                <w:rFonts w:ascii="Times New Roman" w:cs="Times New Roman" w:eastAsia="Times New Roman" w:hAnsi="Times New Roman"/>
                <w:sz w:val="17"/>
                <w:szCs w:val="17"/>
                <w:color w:val="auto"/>
              </w:rPr>
              <w:t>31.1*</w:t>
            </w:r>
          </w:p>
        </w:tc>
        <w:tc>
          <w:tcPr>
            <w:tcW w:w="92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 15d-14(a) under the Securities Exchange Act of 1934, as</w:t>
            </w:r>
          </w:p>
        </w:tc>
      </w:tr>
      <w:tr>
        <w:trPr>
          <w:trHeight w:val="148"/>
        </w:trPr>
        <w:tc>
          <w:tcPr>
            <w:tcW w:w="920" w:type="dxa"/>
            <w:vAlign w:val="bottom"/>
          </w:tcPr>
          <w:p>
            <w:pPr>
              <w:spacing w:after="0"/>
              <w:rPr>
                <w:sz w:val="12"/>
                <w:szCs w:val="12"/>
                <w:color w:val="auto"/>
              </w:rPr>
            </w:pPr>
          </w:p>
        </w:tc>
        <w:tc>
          <w:tcPr>
            <w:tcW w:w="9180" w:type="dxa"/>
            <w:vAlign w:val="bottom"/>
            <w:tcBorders>
              <w:top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2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4760" w:type="dxa"/>
            <w:vAlign w:val="bottom"/>
            <w:gridSpan w:val="3"/>
            <w:shd w:val="clear" w:color="auto" w:fill="0000FF"/>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2"/>
        </w:trPr>
        <w:tc>
          <w:tcPr>
            <w:tcW w:w="920" w:type="dxa"/>
            <w:vAlign w:val="bottom"/>
          </w:tcPr>
          <w:p>
            <w:pPr>
              <w:jc w:val="center"/>
              <w:ind w:right="434"/>
              <w:spacing w:after="0"/>
              <w:rPr>
                <w:sz w:val="20"/>
                <w:szCs w:val="20"/>
                <w:color w:val="auto"/>
              </w:rPr>
            </w:pPr>
            <w:r>
              <w:rPr>
                <w:rFonts w:ascii="Times New Roman" w:cs="Times New Roman" w:eastAsia="Times New Roman" w:hAnsi="Times New Roman"/>
                <w:sz w:val="17"/>
                <w:szCs w:val="17"/>
                <w:color w:val="auto"/>
              </w:rPr>
              <w:t>31.2*</w:t>
            </w:r>
          </w:p>
        </w:tc>
        <w:tc>
          <w:tcPr>
            <w:tcW w:w="92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 15d-14(a) under the Securities Exchange Act of 1934, as</w:t>
            </w:r>
          </w:p>
        </w:tc>
      </w:tr>
      <w:tr>
        <w:trPr>
          <w:trHeight w:val="148"/>
        </w:trPr>
        <w:tc>
          <w:tcPr>
            <w:tcW w:w="920" w:type="dxa"/>
            <w:vAlign w:val="bottom"/>
          </w:tcPr>
          <w:p>
            <w:pPr>
              <w:spacing w:after="0"/>
              <w:rPr>
                <w:sz w:val="12"/>
                <w:szCs w:val="12"/>
                <w:color w:val="auto"/>
              </w:rPr>
            </w:pPr>
          </w:p>
        </w:tc>
        <w:tc>
          <w:tcPr>
            <w:tcW w:w="9140" w:type="dxa"/>
            <w:vAlign w:val="bottom"/>
            <w:tcBorders>
              <w:top w:val="single" w:sz="8" w:color="0000FF"/>
            </w:tcBorders>
            <w:gridSpan w:val="5"/>
          </w:tcPr>
          <w:p>
            <w:pPr>
              <w:spacing w:after="0" w:line="148"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60" w:type="dxa"/>
            <w:vAlign w:val="bottom"/>
            <w:gridSpan w:val="2"/>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00"/>
          </w:cols>
          <w:pgMar w:left="320" w:top="278" w:right="97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Table of Contents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2"/>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24"/>
                <w:szCs w:val="24"/>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 1350, as Adopted Pursuant to Section 906 of the Sarbanes-</w:t>
            </w: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w:t>
            </w:r>
          </w:p>
        </w:tc>
        <w:tc>
          <w:tcPr>
            <w:tcW w:w="784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r>
      <w:tr>
        <w:trPr>
          <w:trHeight w:val="302"/>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24"/>
                <w:szCs w:val="24"/>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 1350, as Adopted Pursuant to Section 906 of the Sarbanes-</w:t>
            </w:r>
          </w:p>
        </w:tc>
      </w:tr>
      <w:tr>
        <w:trPr>
          <w:trHeight w:val="17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0000FF"/>
              <w:bottom w:val="single" w:sz="8" w:color="0000FF"/>
            </w:tcBorders>
          </w:tcPr>
          <w:p>
            <w:pPr>
              <w:spacing w:after="0" w:line="173" w:lineRule="exact"/>
              <w:rPr>
                <w:sz w:val="20"/>
                <w:szCs w:val="20"/>
                <w:color w:val="auto"/>
              </w:rPr>
            </w:pPr>
            <w:r>
              <w:rPr>
                <w:rFonts w:ascii="Times New Roman" w:cs="Times New Roman" w:eastAsia="Times New Roman" w:hAnsi="Times New Roman"/>
                <w:sz w:val="17"/>
                <w:szCs w:val="17"/>
                <w:color w:val="0000FF"/>
              </w:rPr>
              <w:t>Oxley Act of 2002.</w:t>
            </w:r>
          </w:p>
        </w:tc>
        <w:tc>
          <w:tcPr>
            <w:tcW w:w="7800" w:type="dxa"/>
            <w:vAlign w:val="bottom"/>
            <w:tcBorders>
              <w:top w:val="single" w:sz="8" w:color="0000FF"/>
            </w:tcBorders>
            <w:gridSpan w:val="2"/>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15"/>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97.1</w:t>
            </w:r>
          </w:p>
        </w:tc>
        <w:tc>
          <w:tcPr>
            <w:tcW w:w="120" w:type="dxa"/>
            <w:vAlign w:val="bottom"/>
          </w:tcPr>
          <w:p>
            <w:pPr>
              <w:spacing w:after="0"/>
              <w:rPr>
                <w:sz w:val="24"/>
                <w:szCs w:val="24"/>
                <w:color w:val="auto"/>
              </w:rPr>
            </w:pPr>
          </w:p>
        </w:tc>
        <w:tc>
          <w:tcPr>
            <w:tcW w:w="9200" w:type="dxa"/>
            <w:vAlign w:val="bottom"/>
            <w:gridSpan w:val="5"/>
          </w:tcPr>
          <w:p>
            <w:pPr>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 xml:space="preserve">Compensation Recovery Policy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97.1 to the registrant’s annual report on Form 10-K for the year</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ended December 31, 2023 (File</w:t>
            </w:r>
          </w:p>
        </w:tc>
        <w:tc>
          <w:tcPr>
            <w:tcW w:w="70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No. 001-40797))</w:t>
            </w:r>
          </w:p>
        </w:tc>
      </w:tr>
      <w:tr>
        <w:trPr>
          <w:trHeight w:val="263"/>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22"/>
                <w:szCs w:val="22"/>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tc>
      </w:tr>
      <w:tr>
        <w:trPr>
          <w:trHeight w:val="223"/>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r>
      <w:tr>
        <w:trPr>
          <w:trHeight w:val="335"/>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24"/>
                <w:szCs w:val="24"/>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335"/>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101.CAL</w:t>
            </w:r>
          </w:p>
        </w:tc>
        <w:tc>
          <w:tcPr>
            <w:tcW w:w="120" w:type="dxa"/>
            <w:vAlign w:val="bottom"/>
          </w:tcPr>
          <w:p>
            <w:pPr>
              <w:spacing w:after="0"/>
              <w:rPr>
                <w:sz w:val="24"/>
                <w:szCs w:val="24"/>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335"/>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Pr>
          <w:p>
            <w:pPr>
              <w:spacing w:after="0"/>
              <w:rPr>
                <w:sz w:val="24"/>
                <w:szCs w:val="24"/>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335"/>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101.LAB</w:t>
            </w:r>
          </w:p>
        </w:tc>
        <w:tc>
          <w:tcPr>
            <w:tcW w:w="120" w:type="dxa"/>
            <w:vAlign w:val="bottom"/>
          </w:tcPr>
          <w:p>
            <w:pPr>
              <w:spacing w:after="0"/>
              <w:rPr>
                <w:sz w:val="24"/>
                <w:szCs w:val="24"/>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335"/>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101.PRE</w:t>
            </w:r>
          </w:p>
        </w:tc>
        <w:tc>
          <w:tcPr>
            <w:tcW w:w="120" w:type="dxa"/>
            <w:vAlign w:val="bottom"/>
          </w:tcPr>
          <w:p>
            <w:pPr>
              <w:spacing w:after="0"/>
              <w:rPr>
                <w:sz w:val="24"/>
                <w:szCs w:val="24"/>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335"/>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w:t>
            </w:r>
          </w:p>
        </w:tc>
        <w:tc>
          <w:tcPr>
            <w:tcW w:w="120" w:type="dxa"/>
            <w:vAlign w:val="bottom"/>
          </w:tcPr>
          <w:p>
            <w:pPr>
              <w:spacing w:after="0"/>
              <w:rPr>
                <w:sz w:val="24"/>
                <w:szCs w:val="24"/>
                <w:color w:val="auto"/>
              </w:rPr>
            </w:pPr>
          </w:p>
        </w:tc>
        <w:tc>
          <w:tcPr>
            <w:tcW w:w="9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8" w:lineRule="exact"/>
        <w:rPr>
          <w:sz w:val="20"/>
          <w:szCs w:val="20"/>
          <w:color w:val="auto"/>
        </w:rPr>
      </w:pPr>
    </w:p>
    <w:p>
      <w:pPr>
        <w:ind w:left="300" w:hanging="297"/>
        <w:spacing w:after="0"/>
        <w:tabs>
          <w:tab w:leader="none" w:pos="3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Furnished herewith.</w:t>
      </w:r>
    </w:p>
    <w:p>
      <w:pPr>
        <w:spacing w:after="0" w:line="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Indicates management contract or compensatory plan.</w:t>
      </w:r>
    </w:p>
    <w:p>
      <w:pPr>
        <w:spacing w:after="0" w:line="7"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Certain portions of this Exhibit (indicated by “[***]”) have been omitted pursuant to Regulation S-K, Item (601)(b)(10)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(b) Financial Statement Schedules.</w:t>
      </w:r>
    </w:p>
    <w:p>
      <w:pPr>
        <w:spacing w:after="0" w:line="169"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Schedules not listed above have been omitted because the information required to be set forth therein is not applicable or is shown in the financial statements or the notes thereto.</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38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66"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480" w:type="dxa"/>
            <w:vAlign w:val="bottom"/>
          </w:tcPr>
          <w:p>
            <w:pPr>
              <w:spacing w:after="0"/>
              <w:rPr>
                <w:sz w:val="19"/>
                <w:szCs w:val="19"/>
                <w:color w:val="auto"/>
              </w:rPr>
            </w:pPr>
          </w:p>
        </w:tc>
        <w:tc>
          <w:tcPr>
            <w:tcW w:w="7740" w:type="dxa"/>
            <w:vAlign w:val="bottom"/>
            <w:gridSpan w:val="3"/>
          </w:tcPr>
          <w:p>
            <w:pPr>
              <w:ind w:left="1540"/>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tc>
      </w:tr>
      <w:tr>
        <w:trPr>
          <w:trHeight w:val="477"/>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26, 2026</w:t>
            </w:r>
          </w:p>
        </w:tc>
        <w:tc>
          <w:tcPr>
            <w:tcW w:w="7740" w:type="dxa"/>
            <w:vAlign w:val="bottom"/>
            <w:gridSpan w:val="3"/>
          </w:tcPr>
          <w:p>
            <w:pPr>
              <w:ind w:left="1540"/>
              <w:spacing w:after="0"/>
              <w:rPr>
                <w:sz w:val="20"/>
                <w:szCs w:val="20"/>
                <w:color w:val="auto"/>
              </w:rPr>
            </w:pPr>
            <w:r>
              <w:rPr>
                <w:rFonts w:ascii="Times New Roman" w:cs="Times New Roman" w:eastAsia="Times New Roman" w:hAnsi="Times New Roman"/>
                <w:sz w:val="17"/>
                <w:szCs w:val="17"/>
                <w:color w:val="auto"/>
              </w:rPr>
              <w:t>By:   /s/ Larry Wood</w:t>
            </w:r>
          </w:p>
        </w:tc>
      </w:tr>
      <w:tr>
        <w:trPr>
          <w:trHeight w:val="209"/>
        </w:trPr>
        <w:tc>
          <w:tcPr>
            <w:tcW w:w="3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Larry Wood</w:t>
            </w:r>
          </w:p>
        </w:tc>
      </w:tr>
      <w:tr>
        <w:trPr>
          <w:trHeight w:val="223"/>
        </w:trPr>
        <w:tc>
          <w:tcPr>
            <w:tcW w:w="3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 AND POWER OF ATTORNEY</w:t>
      </w:r>
    </w:p>
    <w:p>
      <w:pPr>
        <w:spacing w:after="0" w:line="169" w:lineRule="exact"/>
        <w:rPr>
          <w:sz w:val="20"/>
          <w:szCs w:val="20"/>
          <w:color w:val="auto"/>
        </w:rPr>
      </w:pPr>
    </w:p>
    <w:p>
      <w:pPr>
        <w:ind w:right="200" w:firstLine="309"/>
        <w:spacing w:after="0" w:line="264"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Larry Wood and Kevin Waters,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20" w:lineRule="exact"/>
        <w:rPr>
          <w:sz w:val="20"/>
          <w:szCs w:val="20"/>
          <w:color w:val="auto"/>
        </w:rPr>
      </w:pPr>
    </w:p>
    <w:p>
      <w:pPr>
        <w:ind w:right="260" w:firstLine="30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0" w:type="dxa"/>
            <w:vAlign w:val="bottom"/>
          </w:tcPr>
          <w:p>
            <w:pPr>
              <w:spacing w:after="0"/>
              <w:rPr>
                <w:sz w:val="15"/>
                <w:szCs w:val="15"/>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2"/>
        </w:trPr>
        <w:tc>
          <w:tcPr>
            <w:tcW w:w="4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367"/>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Larry Wood</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Larry Wood</w:t>
            </w:r>
          </w:p>
        </w:tc>
        <w:tc>
          <w:tcPr>
            <w:tcW w:w="100" w:type="dxa"/>
            <w:vAlign w:val="bottom"/>
          </w:tcPr>
          <w:p>
            <w:pPr>
              <w:spacing w:after="0"/>
              <w:rPr>
                <w:sz w:val="18"/>
                <w:szCs w:val="18"/>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Kevin Waters</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EVP, Chief Financial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Kevin Waters</w:t>
            </w:r>
          </w:p>
        </w:tc>
        <w:tc>
          <w:tcPr>
            <w:tcW w:w="100" w:type="dxa"/>
            <w:vAlign w:val="bottom"/>
          </w:tcPr>
          <w:p>
            <w:pPr>
              <w:spacing w:after="0"/>
              <w:rPr>
                <w:sz w:val="18"/>
                <w:szCs w:val="18"/>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Thomas M. Prescott</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 and Chair of the Board</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Thomas M. Prescott</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Antal Desai</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Antal Desai</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Amy Dodrill</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Amy Dodrill</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Mary Garrett</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Mary Garrett</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1"/>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Taylor Harris</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Taylor Harris</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Elisabeth Little</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Elisabeth Little</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Frederic Moll, M.D.</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Frederic Moll, M.D.</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240"/>
          </w:cols>
          <w:pgMar w:left="320" w:top="27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9"/>
          <w:szCs w:val="19"/>
          <w:b w:val="1"/>
          <w:bCs w:val="1"/>
          <w:color w:val="auto"/>
        </w:rPr>
        <w:t>PROCEPT BIOROBOTICS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NON-EMPLOYEE DIRECTOR COMPENSATION PROGRAM</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and restated effective as of April 16, 2025)</w:t>
      </w:r>
    </w:p>
    <w:p>
      <w:pPr>
        <w:spacing w:after="0" w:line="238" w:lineRule="exact"/>
        <w:rPr>
          <w:sz w:val="20"/>
          <w:szCs w:val="20"/>
          <w:color w:val="auto"/>
        </w:rPr>
      </w:pPr>
    </w:p>
    <w:p>
      <w:pPr>
        <w:jc w:val="both"/>
        <w:ind w:firstLine="619"/>
        <w:spacing w:after="0" w:line="293" w:lineRule="auto"/>
        <w:rPr>
          <w:sz w:val="20"/>
          <w:szCs w:val="20"/>
          <w:color w:val="auto"/>
        </w:rPr>
      </w:pPr>
      <w:r>
        <w:rPr>
          <w:rFonts w:ascii="Times New Roman" w:cs="Times New Roman" w:eastAsia="Times New Roman" w:hAnsi="Times New Roman"/>
          <w:sz w:val="19"/>
          <w:szCs w:val="19"/>
          <w:color w:val="auto"/>
        </w:rPr>
        <w:t>Eligible Directors (as defined below) on the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of PROCEPT BioRobotics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shall be eligible to receive cash and equity compensation as set forth in this Non-Employee Director Compensation Program (this “</w:t>
      </w:r>
      <w:r>
        <w:rPr>
          <w:rFonts w:ascii="Times New Roman" w:cs="Times New Roman" w:eastAsia="Times New Roman" w:hAnsi="Times New Roman"/>
          <w:sz w:val="19"/>
          <w:szCs w:val="19"/>
          <w:b w:val="1"/>
          <w:bCs w:val="1"/>
          <w:i w:val="1"/>
          <w:iCs w:val="1"/>
          <w:color w:val="auto"/>
        </w:rPr>
        <w:t>Program</w:t>
      </w:r>
      <w:r>
        <w:rPr>
          <w:rFonts w:ascii="Times New Roman" w:cs="Times New Roman" w:eastAsia="Times New Roman" w:hAnsi="Times New Roman"/>
          <w:sz w:val="19"/>
          <w:szCs w:val="19"/>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or subsidiaries other than a person who is determined by the Board to not be eligible to receive compensation under this Program (each, an “</w:t>
      </w:r>
      <w:r>
        <w:rPr>
          <w:rFonts w:ascii="Times New Roman" w:cs="Times New Roman" w:eastAsia="Times New Roman" w:hAnsi="Times New Roman"/>
          <w:sz w:val="19"/>
          <w:szCs w:val="19"/>
          <w:b w:val="1"/>
          <w:bCs w:val="1"/>
          <w:i w:val="1"/>
          <w:iCs w:val="1"/>
          <w:color w:val="auto"/>
        </w:rPr>
        <w:t>Eligible Director</w:t>
      </w:r>
      <w:r>
        <w:rPr>
          <w:rFonts w:ascii="Times New Roman" w:cs="Times New Roman" w:eastAsia="Times New Roman" w:hAnsi="Times New Roman"/>
          <w:sz w:val="19"/>
          <w:szCs w:val="19"/>
          <w:color w:val="auto"/>
        </w:rPr>
        <w:t>”), who may be eligible to receive such cash or equity compensation, unless such Eligible Director declines the receipt of such cash or equity compensation by written notice to the Company.</w:t>
      </w:r>
    </w:p>
    <w:p>
      <w:pPr>
        <w:spacing w:after="0" w:line="183" w:lineRule="exact"/>
        <w:rPr>
          <w:sz w:val="20"/>
          <w:szCs w:val="20"/>
          <w:color w:val="auto"/>
        </w:rPr>
      </w:pPr>
    </w:p>
    <w:p>
      <w:pPr>
        <w:jc w:val="both"/>
        <w:ind w:firstLine="619"/>
        <w:spacing w:after="0" w:line="300" w:lineRule="auto"/>
        <w:rPr>
          <w:sz w:val="20"/>
          <w:szCs w:val="20"/>
          <w:color w:val="auto"/>
        </w:rPr>
      </w:pPr>
      <w:r>
        <w:rPr>
          <w:rFonts w:ascii="Times New Roman" w:cs="Times New Roman" w:eastAsia="Times New Roman" w:hAnsi="Times New Roman"/>
          <w:sz w:val="19"/>
          <w:szCs w:val="19"/>
          <w:color w:val="auto"/>
        </w:rPr>
        <w:t>This Program, as amended and restated, is effective as of April 16, 2025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79" w:lineRule="exact"/>
        <w:rPr>
          <w:sz w:val="20"/>
          <w:szCs w:val="20"/>
          <w:color w:val="auto"/>
        </w:rPr>
      </w:pPr>
    </w:p>
    <w:p>
      <w:pPr>
        <w:ind w:left="1240" w:hanging="618"/>
        <w:spacing w:after="0"/>
        <w:tabs>
          <w:tab w:leader="none" w:pos="124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Compensation</w:t>
      </w:r>
      <w:r>
        <w:rPr>
          <w:rFonts w:ascii="Times New Roman" w:cs="Times New Roman" w:eastAsia="Times New Roman" w:hAnsi="Times New Roman"/>
          <w:sz w:val="19"/>
          <w:szCs w:val="19"/>
          <w:color w:val="auto"/>
        </w:rPr>
        <w:t>.</w:t>
      </w:r>
    </w:p>
    <w:p>
      <w:pPr>
        <w:spacing w:after="0" w:line="245"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Retainers</w:t>
      </w:r>
      <w:r>
        <w:rPr>
          <w:rFonts w:ascii="Times New Roman" w:cs="Times New Roman" w:eastAsia="Times New Roman" w:hAnsi="Times New Roman"/>
          <w:sz w:val="19"/>
          <w:szCs w:val="19"/>
          <w:color w:val="auto"/>
        </w:rPr>
        <w:t>. Each Eligible Director shall be eligible to receive an annual cash retainer of $50,000 for service on the</w:t>
      </w:r>
    </w:p>
    <w:p>
      <w:pPr>
        <w:spacing w:after="0" w:line="39" w:lineRule="exact"/>
        <w:rPr>
          <w:rFonts w:ascii="Times New Roman" w:cs="Times New Roman" w:eastAsia="Times New Roman" w:hAnsi="Times New Roman"/>
          <w:sz w:val="19"/>
          <w:szCs w:val="19"/>
          <w:color w:val="auto"/>
        </w:rPr>
      </w:pPr>
    </w:p>
    <w:p>
      <w:pPr>
        <w:ind w:left="3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Board.</w:t>
      </w:r>
    </w:p>
    <w:p>
      <w:pPr>
        <w:spacing w:after="0" w:line="258"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Annual Retainers</w:t>
      </w:r>
      <w:r>
        <w:rPr>
          <w:rFonts w:ascii="Times New Roman" w:cs="Times New Roman" w:eastAsia="Times New Roman" w:hAnsi="Times New Roman"/>
          <w:sz w:val="19"/>
          <w:szCs w:val="19"/>
          <w:color w:val="auto"/>
        </w:rPr>
        <w:t>. An Eligible Director shall be eligible to receive the following additional annual retainers, as</w:t>
      </w:r>
    </w:p>
    <w:p>
      <w:pPr>
        <w:spacing w:after="0" w:line="39" w:lineRule="exact"/>
        <w:rPr>
          <w:rFonts w:ascii="Times New Roman" w:cs="Times New Roman" w:eastAsia="Times New Roman" w:hAnsi="Times New Roman"/>
          <w:sz w:val="19"/>
          <w:szCs w:val="19"/>
          <w:color w:val="auto"/>
        </w:rPr>
      </w:pPr>
    </w:p>
    <w:p>
      <w:pPr>
        <w:ind w:left="3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applicable:</w:t>
      </w:r>
    </w:p>
    <w:p>
      <w:pPr>
        <w:spacing w:after="0" w:line="258" w:lineRule="exact"/>
        <w:rPr>
          <w:rFonts w:ascii="Times New Roman" w:cs="Times New Roman" w:eastAsia="Times New Roman" w:hAnsi="Times New Roman"/>
          <w:sz w:val="19"/>
          <w:szCs w:val="19"/>
          <w:color w:val="auto"/>
        </w:rPr>
      </w:pPr>
    </w:p>
    <w:p>
      <w:pPr>
        <w:ind w:left="320" w:firstLine="1540"/>
        <w:spacing w:after="0" w:line="311" w:lineRule="auto"/>
        <w:tabs>
          <w:tab w:leader="none" w:pos="2307" w:val="left"/>
        </w:tabs>
        <w:numPr>
          <w:ilvl w:val="2"/>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Non-Employee Chairperson of the Board or Lead Independent Director</w:t>
      </w:r>
      <w:r>
        <w:rPr>
          <w:rFonts w:ascii="Times New Roman" w:cs="Times New Roman" w:eastAsia="Times New Roman" w:hAnsi="Times New Roman"/>
          <w:sz w:val="19"/>
          <w:szCs w:val="19"/>
          <w:color w:val="auto"/>
        </w:rPr>
        <w:t>. An Eligible Director serving as Chairperson of the Board or Lead Independent Director shall be eligible to receive an additional annual retainer of $50,000 for such service.</w:t>
      </w:r>
    </w:p>
    <w:p>
      <w:pPr>
        <w:spacing w:after="0" w:line="155" w:lineRule="exact"/>
        <w:rPr>
          <w:rFonts w:ascii="Times New Roman" w:cs="Times New Roman" w:eastAsia="Times New Roman" w:hAnsi="Times New Roman"/>
          <w:sz w:val="19"/>
          <w:szCs w:val="19"/>
          <w:color w:val="auto"/>
        </w:rPr>
      </w:pPr>
    </w:p>
    <w:p>
      <w:pPr>
        <w:ind w:left="2300" w:hanging="440"/>
        <w:spacing w:after="0"/>
        <w:tabs>
          <w:tab w:leader="none" w:pos="2300" w:val="left"/>
        </w:tabs>
        <w:numPr>
          <w:ilvl w:val="2"/>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Audit Committee</w:t>
      </w:r>
      <w:r>
        <w:rPr>
          <w:rFonts w:ascii="Times New Roman" w:cs="Times New Roman" w:eastAsia="Times New Roman" w:hAnsi="Times New Roman"/>
          <w:sz w:val="19"/>
          <w:szCs w:val="19"/>
          <w:color w:val="auto"/>
        </w:rPr>
        <w:t>. An Eligible Director serving as Chairperson of the Audit Committee shall be eligible to receive an</w:t>
      </w:r>
    </w:p>
    <w:p>
      <w:pPr>
        <w:spacing w:after="0" w:line="52" w:lineRule="exact"/>
        <w:rPr>
          <w:rFonts w:ascii="Times New Roman" w:cs="Times New Roman" w:eastAsia="Times New Roman" w:hAnsi="Times New Roman"/>
          <w:sz w:val="19"/>
          <w:szCs w:val="19"/>
          <w:color w:val="auto"/>
        </w:rPr>
      </w:pPr>
    </w:p>
    <w:p>
      <w:pPr>
        <w:ind w:left="32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annual retainer of $20,000 for such service. An Eligible Director serving as a member of the Audit Committee (other than the Chairperson) shall be eligible to receive an additional annual retainer of $10,000 for such service.</w:t>
      </w:r>
    </w:p>
    <w:p>
      <w:pPr>
        <w:spacing w:after="0" w:line="155" w:lineRule="exact"/>
        <w:rPr>
          <w:rFonts w:ascii="Times New Roman" w:cs="Times New Roman" w:eastAsia="Times New Roman" w:hAnsi="Times New Roman"/>
          <w:sz w:val="19"/>
          <w:szCs w:val="19"/>
          <w:color w:val="auto"/>
        </w:rPr>
      </w:pPr>
    </w:p>
    <w:p>
      <w:pPr>
        <w:ind w:left="2400" w:hanging="540"/>
        <w:spacing w:after="0"/>
        <w:tabs>
          <w:tab w:leader="none" w:pos="2400" w:val="left"/>
        </w:tabs>
        <w:numPr>
          <w:ilvl w:val="2"/>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Committee</w:t>
      </w:r>
      <w:r>
        <w:rPr>
          <w:rFonts w:ascii="Times New Roman" w:cs="Times New Roman" w:eastAsia="Times New Roman" w:hAnsi="Times New Roman"/>
          <w:sz w:val="19"/>
          <w:szCs w:val="19"/>
          <w:color w:val="auto"/>
        </w:rPr>
        <w:t>. An Eligible Director serving as Chairperson of the Compensation Committee shall be</w:t>
      </w:r>
    </w:p>
    <w:p>
      <w:pPr>
        <w:spacing w:after="0" w:line="52" w:lineRule="exact"/>
        <w:rPr>
          <w:rFonts w:ascii="Times New Roman" w:cs="Times New Roman" w:eastAsia="Times New Roman" w:hAnsi="Times New Roman"/>
          <w:sz w:val="19"/>
          <w:szCs w:val="19"/>
          <w:color w:val="auto"/>
        </w:rPr>
      </w:pPr>
    </w:p>
    <w:p>
      <w:pPr>
        <w:ind w:left="32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eligible to receive an additional annual retainer of $15,000 for such service. An Eligible Director serving as a member of the Compensation Committee (other than the Chairperson) shall be eligible to receive an additional annual retainer of $7,500 for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78" w:right="339" w:bottom="1440" w:gutter="0" w:footer="0" w:header="0"/>
        </w:sectPr>
      </w:pPr>
    </w:p>
    <w:bookmarkStart w:id="124" w:name="page125"/>
    <w:bookmarkEnd w:id="124"/>
    <w:p>
      <w:pPr>
        <w:jc w:val="both"/>
        <w:ind w:firstLine="1540"/>
        <w:spacing w:after="0" w:line="306" w:lineRule="auto"/>
        <w:tabs>
          <w:tab w:leader="none" w:pos="209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Nominating and Corporate Governance Committee</w:t>
      </w:r>
      <w:r>
        <w:rPr>
          <w:rFonts w:ascii="Times New Roman" w:cs="Times New Roman" w:eastAsia="Times New Roman" w:hAnsi="Times New Roman"/>
          <w:sz w:val="18"/>
          <w:szCs w:val="18"/>
          <w:color w:val="auto"/>
        </w:rPr>
        <w:t>. An Eligible Director serving as Chairperson of the Nominating and Corporate Governance Committee shall be eligible to receive an additional annual retainer of $10,000 for such service. An Eligible Director</w:t>
      </w:r>
    </w:p>
    <w:p>
      <w:pPr>
        <w:spacing w:after="0" w:line="3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serving as a member of the Nominating and Corporate Governance Committee (other than the Chairperson) shall be eligible to receive an additional annual retainer of $5,000 for such service.</w:t>
      </w:r>
    </w:p>
    <w:p>
      <w:pPr>
        <w:spacing w:after="0" w:line="168" w:lineRule="exact"/>
        <w:rPr>
          <w:rFonts w:ascii="Times New Roman" w:cs="Times New Roman" w:eastAsia="Times New Roman" w:hAnsi="Times New Roman"/>
          <w:sz w:val="18"/>
          <w:szCs w:val="18"/>
          <w:color w:val="auto"/>
        </w:rPr>
      </w:pPr>
    </w:p>
    <w:p>
      <w:pPr>
        <w:jc w:val="both"/>
        <w:ind w:firstLine="921"/>
        <w:spacing w:after="0" w:line="303" w:lineRule="auto"/>
        <w:tabs>
          <w:tab w:leader="none" w:pos="153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Retainers</w:t>
      </w:r>
      <w:r>
        <w:rPr>
          <w:rFonts w:ascii="Times New Roman" w:cs="Times New Roman" w:eastAsia="Times New Roman" w:hAnsi="Times New Roman"/>
          <w:sz w:val="18"/>
          <w:szCs w:val="18"/>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w:t>
      </w:r>
    </w:p>
    <w:p>
      <w:pPr>
        <w:spacing w:after="0" w:line="2" w:lineRule="exact"/>
        <w:rPr>
          <w:rFonts w:ascii="Times New Roman" w:cs="Times New Roman" w:eastAsia="Times New Roman" w:hAnsi="Times New Roman"/>
          <w:sz w:val="18"/>
          <w:szCs w:val="18"/>
          <w:color w:val="auto"/>
        </w:rPr>
      </w:pPr>
    </w:p>
    <w:p>
      <w:pPr>
        <w:spacing w:after="0" w:line="3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retainer paid to such Eligible Director shall be prorated for the portion of such calendar quarter actually served as a director, or in such position, as applicable.</w:t>
      </w:r>
    </w:p>
    <w:p>
      <w:pPr>
        <w:spacing w:after="0" w:line="155" w:lineRule="exact"/>
        <w:rPr>
          <w:rFonts w:ascii="Times New Roman" w:cs="Times New Roman" w:eastAsia="Times New Roman" w:hAnsi="Times New Roman"/>
          <w:sz w:val="18"/>
          <w:szCs w:val="18"/>
          <w:color w:val="auto"/>
        </w:rPr>
      </w:pPr>
    </w:p>
    <w:p>
      <w:pPr>
        <w:ind w:left="920" w:hanging="618"/>
        <w:spacing w:after="0"/>
        <w:tabs>
          <w:tab w:leader="none" w:pos="92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Compensation</w:t>
      </w:r>
      <w:r>
        <w:rPr>
          <w:rFonts w:ascii="Times New Roman" w:cs="Times New Roman" w:eastAsia="Times New Roman" w:hAnsi="Times New Roman"/>
          <w:sz w:val="19"/>
          <w:szCs w:val="19"/>
          <w:color w:val="auto"/>
        </w:rPr>
        <w:t>.</w:t>
      </w:r>
    </w:p>
    <w:p>
      <w:pPr>
        <w:spacing w:after="0" w:line="258" w:lineRule="exact"/>
        <w:rPr>
          <w:rFonts w:ascii="Times New Roman" w:cs="Times New Roman" w:eastAsia="Times New Roman" w:hAnsi="Times New Roman"/>
          <w:sz w:val="19"/>
          <w:szCs w:val="19"/>
          <w:color w:val="auto"/>
        </w:rPr>
      </w:pPr>
    </w:p>
    <w:p>
      <w:pPr>
        <w:jc w:val="both"/>
        <w:ind w:firstLine="921"/>
        <w:spacing w:after="0" w:line="287" w:lineRule="auto"/>
        <w:tabs>
          <w:tab w:leader="none" w:pos="1536"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Eligible Directors shall be granted the equity awards described below. The awards described below shall be granted under and shall be subject to the terms and provisions of the Company’s 2021 Equity Incentive Plan or any other applicable Company</w:t>
      </w:r>
    </w:p>
    <w:p>
      <w:pPr>
        <w:jc w:val="both"/>
        <w:spacing w:after="0" w:line="30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equity incentive plan then-maintained by the Company (such plan, as may be amended from time to time, the “</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w:t>
      </w: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equity awards hereby are subject in all respects to the terms of the Equity Plan. Capitalized terms not otherwise defined herein shall have the meanings ascribed to them in the Equity Plan.</w:t>
      </w:r>
    </w:p>
    <w:p>
      <w:pPr>
        <w:spacing w:after="0" w:line="155" w:lineRule="exact"/>
        <w:rPr>
          <w:rFonts w:ascii="Times New Roman" w:cs="Times New Roman" w:eastAsia="Times New Roman" w:hAnsi="Times New Roman"/>
          <w:sz w:val="19"/>
          <w:szCs w:val="19"/>
          <w:color w:val="auto"/>
        </w:rPr>
      </w:pPr>
    </w:p>
    <w:p>
      <w:pPr>
        <w:ind w:left="1540" w:hanging="619"/>
        <w:spacing w:after="0"/>
        <w:tabs>
          <w:tab w:leader="none" w:pos="154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Initial Awards</w:t>
      </w:r>
      <w:r>
        <w:rPr>
          <w:rFonts w:ascii="Times New Roman" w:cs="Times New Roman" w:eastAsia="Times New Roman" w:hAnsi="Times New Roman"/>
          <w:sz w:val="19"/>
          <w:szCs w:val="19"/>
          <w:color w:val="auto"/>
        </w:rPr>
        <w:t>. Each Eligible Director who is initially elected or appointed to serve on the Board after the Effective Date</w:t>
      </w:r>
    </w:p>
    <w:p>
      <w:pPr>
        <w:spacing w:after="0" w:line="46" w:lineRule="exact"/>
        <w:rPr>
          <w:rFonts w:ascii="Times New Roman" w:cs="Times New Roman" w:eastAsia="Times New Roman" w:hAnsi="Times New Roman"/>
          <w:sz w:val="19"/>
          <w:szCs w:val="19"/>
          <w:color w:val="auto"/>
        </w:rPr>
      </w:pPr>
    </w:p>
    <w:p>
      <w:pPr>
        <w:jc w:val="both"/>
        <w:spacing w:after="0" w:line="29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automatically shall be granted an equity award with a value of approximately $300,000 (each, an “</w:t>
      </w:r>
      <w:r>
        <w:rPr>
          <w:rFonts w:ascii="Times New Roman" w:cs="Times New Roman" w:eastAsia="Times New Roman" w:hAnsi="Times New Roman"/>
          <w:sz w:val="19"/>
          <w:szCs w:val="19"/>
          <w:b w:val="1"/>
          <w:bCs w:val="1"/>
          <w:i w:val="1"/>
          <w:iCs w:val="1"/>
          <w:color w:val="auto"/>
        </w:rPr>
        <w:t>Initial Award</w:t>
      </w:r>
      <w:r>
        <w:rPr>
          <w:rFonts w:ascii="Times New Roman" w:cs="Times New Roman" w:eastAsia="Times New Roman" w:hAnsi="Times New Roman"/>
          <w:sz w:val="19"/>
          <w:szCs w:val="19"/>
          <w:color w:val="auto"/>
        </w:rPr>
        <w:t>”), consisting of (1) an Option (as defined in the Equity Plan) award with a value equivalent to 150,000 (50% of 300,000) and (2) an Restricted Stock Unit (as defined in the</w:t>
      </w:r>
    </w:p>
    <w:p>
      <w:pPr>
        <w:spacing w:after="0" w:line="1" w:lineRule="exact"/>
        <w:rPr>
          <w:rFonts w:ascii="Times New Roman" w:cs="Times New Roman" w:eastAsia="Times New Roman" w:hAnsi="Times New Roman"/>
          <w:sz w:val="19"/>
          <w:szCs w:val="19"/>
          <w:color w:val="auto"/>
        </w:rPr>
      </w:pPr>
    </w:p>
    <w:p>
      <w:pPr>
        <w:jc w:val="both"/>
        <w:spacing w:after="0" w:line="29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Equity Plan) award with a value equivalent to 150,000 (50% of 300,000). Each Initial Award shall be granted on the date on which such Eligible Director is appointed or elected to serve on the Board (the “</w:t>
      </w:r>
      <w:r>
        <w:rPr>
          <w:rFonts w:ascii="Times New Roman" w:cs="Times New Roman" w:eastAsia="Times New Roman" w:hAnsi="Times New Roman"/>
          <w:sz w:val="19"/>
          <w:szCs w:val="19"/>
          <w:b w:val="1"/>
          <w:bCs w:val="1"/>
          <w:i w:val="1"/>
          <w:iCs w:val="1"/>
          <w:color w:val="auto"/>
        </w:rPr>
        <w:t>Election Date</w:t>
      </w:r>
      <w:r>
        <w:rPr>
          <w:rFonts w:ascii="Times New Roman" w:cs="Times New Roman" w:eastAsia="Times New Roman" w:hAnsi="Times New Roman"/>
          <w:sz w:val="19"/>
          <w:szCs w:val="19"/>
          <w:color w:val="auto"/>
        </w:rPr>
        <w:t>”), and shall vest in substantially equal installments on each of the first three anniversaries of the applicable grant date, subject to continued service through the applicable vesting date.</w:t>
      </w:r>
    </w:p>
    <w:p>
      <w:pPr>
        <w:spacing w:after="0" w:line="181" w:lineRule="exact"/>
        <w:rPr>
          <w:rFonts w:ascii="Times New Roman" w:cs="Times New Roman" w:eastAsia="Times New Roman" w:hAnsi="Times New Roman"/>
          <w:sz w:val="19"/>
          <w:szCs w:val="19"/>
          <w:color w:val="auto"/>
        </w:rPr>
      </w:pPr>
    </w:p>
    <w:p>
      <w:pPr>
        <w:jc w:val="both"/>
        <w:ind w:firstLine="921"/>
        <w:spacing w:after="0" w:line="303" w:lineRule="auto"/>
        <w:tabs>
          <w:tab w:leader="none" w:pos="15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Awards</w:t>
      </w:r>
      <w:r>
        <w:rPr>
          <w:rFonts w:ascii="Times New Roman" w:cs="Times New Roman" w:eastAsia="Times New Roman" w:hAnsi="Times New Roman"/>
          <w:sz w:val="18"/>
          <w:szCs w:val="18"/>
          <w:color w:val="auto"/>
        </w:rPr>
        <w:t>. An Eligible Director who is serving on the Board as of the date of the annual meeting of the Company’s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each calendar year beginning with calendar year 2022 shall be granted an equity award with a value of approximately $180,000 (an “</w:t>
      </w:r>
      <w:r>
        <w:rPr>
          <w:rFonts w:ascii="Times New Roman" w:cs="Times New Roman" w:eastAsia="Times New Roman" w:hAnsi="Times New Roman"/>
          <w:sz w:val="18"/>
          <w:szCs w:val="18"/>
          <w:b w:val="1"/>
          <w:bCs w:val="1"/>
          <w:i w:val="1"/>
          <w:iCs w:val="1"/>
          <w:color w:val="auto"/>
        </w:rPr>
        <w:t>Annual Award</w:t>
      </w:r>
      <w:r>
        <w:rPr>
          <w:rFonts w:ascii="Times New Roman" w:cs="Times New Roman" w:eastAsia="Times New Roman" w:hAnsi="Times New Roman"/>
          <w:sz w:val="18"/>
          <w:szCs w:val="18"/>
          <w:color w:val="auto"/>
        </w:rPr>
        <w:t>”, together with the Initial Award, the “</w:t>
      </w:r>
      <w:r>
        <w:rPr>
          <w:rFonts w:ascii="Times New Roman" w:cs="Times New Roman" w:eastAsia="Times New Roman" w:hAnsi="Times New Roman"/>
          <w:sz w:val="18"/>
          <w:szCs w:val="18"/>
          <w:b w:val="1"/>
          <w:bCs w:val="1"/>
          <w:i w:val="1"/>
          <w:iCs w:val="1"/>
          <w:color w:val="auto"/>
        </w:rPr>
        <w:t>Director Award</w:t>
      </w:r>
      <w:r>
        <w:rPr>
          <w:rFonts w:ascii="Times New Roman" w:cs="Times New Roman" w:eastAsia="Times New Roman" w:hAnsi="Times New Roman"/>
          <w:sz w:val="18"/>
          <w:szCs w:val="18"/>
          <w:color w:val="auto"/>
        </w:rPr>
        <w:t>”), consisting of (1) an Option (as defined in</w:t>
      </w:r>
    </w:p>
    <w:p>
      <w:pPr>
        <w:spacing w:after="0" w:line="2" w:lineRule="exact"/>
        <w:rPr>
          <w:rFonts w:ascii="Times New Roman" w:cs="Times New Roman" w:eastAsia="Times New Roman" w:hAnsi="Times New Roman"/>
          <w:sz w:val="18"/>
          <w:szCs w:val="18"/>
          <w:color w:val="auto"/>
        </w:rPr>
      </w:pPr>
    </w:p>
    <w:p>
      <w:pPr>
        <w:spacing w:after="0" w:line="3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Equity Plan) award with a value equivalent to 90,000 (50% of 180,000) and (2) a Restricted Stock Unit (as defined in the Equity Plan) award with a value equivalent to 90,000 (50% of 180,000). Each Annual Award shall vest in full on the earlier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920"/>
          </w:cols>
          <w:pgMar w:left="640" w:top="1382" w:right="339" w:bottom="1440" w:gutter="0" w:footer="0" w:header="0"/>
        </w:sectPr>
      </w:pPr>
    </w:p>
    <w:bookmarkStart w:id="125" w:name="page126"/>
    <w:bookmarkEnd w:id="125"/>
    <w:p>
      <w:pPr>
        <w:ind w:left="320"/>
        <w:spacing w:after="0" w:line="311" w:lineRule="auto"/>
        <w:rPr>
          <w:sz w:val="20"/>
          <w:szCs w:val="20"/>
          <w:color w:val="auto"/>
        </w:rPr>
      </w:pPr>
      <w:r>
        <w:rPr>
          <w:rFonts w:ascii="Times New Roman" w:cs="Times New Roman" w:eastAsia="Times New Roman" w:hAnsi="Times New Roman"/>
          <w:sz w:val="19"/>
          <w:szCs w:val="19"/>
          <w:color w:val="auto"/>
        </w:rPr>
        <w:t>of (x) the one-year anniversary of the applicable grant date and (y) the date of the next Annual Meeting following the grant date, subject to continued service through the applicable vesting date.</w:t>
      </w:r>
    </w:p>
    <w:p>
      <w:pPr>
        <w:spacing w:after="0" w:line="169" w:lineRule="exact"/>
        <w:rPr>
          <w:sz w:val="20"/>
          <w:szCs w:val="20"/>
          <w:color w:val="auto"/>
        </w:rPr>
      </w:pPr>
    </w:p>
    <w:p>
      <w:pPr>
        <w:jc w:val="both"/>
        <w:ind w:left="320" w:firstLine="921"/>
        <w:spacing w:after="0" w:line="290" w:lineRule="auto"/>
        <w:tabs>
          <w:tab w:leader="none" w:pos="1867"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Accelerated Vesting Events</w:t>
      </w:r>
      <w:r>
        <w:rPr>
          <w:rFonts w:ascii="Times New Roman" w:cs="Times New Roman" w:eastAsia="Times New Roman" w:hAnsi="Times New Roman"/>
          <w:sz w:val="19"/>
          <w:szCs w:val="19"/>
          <w:color w:val="auto"/>
        </w:rPr>
        <w:t>. Notwithstanding the foregoing, an Eligible Director’s Director Award(s) shall vest in full immediately prior to the occurrence of a Non-Transactional Change in Control, to the extent outstanding and unvested at such time, if the</w:t>
      </w:r>
    </w:p>
    <w:p>
      <w:pPr>
        <w:ind w:left="32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Eligible Director will not become, as of immediately following such Non-Transactional Change in Control, a member of the board of the Company or the ultimate parent of the Company.</w:t>
      </w:r>
    </w:p>
    <w:p>
      <w:pPr>
        <w:spacing w:after="0" w:line="155"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Provisions Applicable to Awards</w:t>
      </w:r>
      <w:r>
        <w:rPr>
          <w:rFonts w:ascii="Times New Roman" w:cs="Times New Roman" w:eastAsia="Times New Roman" w:hAnsi="Times New Roman"/>
          <w:sz w:val="19"/>
          <w:szCs w:val="19"/>
          <w:color w:val="auto"/>
        </w:rPr>
        <w:t>. With respect to any equity award granted under this Program:</w:t>
      </w:r>
    </w:p>
    <w:p>
      <w:pPr>
        <w:spacing w:after="0" w:line="258" w:lineRule="exact"/>
        <w:rPr>
          <w:rFonts w:ascii="Times New Roman" w:cs="Times New Roman" w:eastAsia="Times New Roman" w:hAnsi="Times New Roman"/>
          <w:sz w:val="19"/>
          <w:szCs w:val="19"/>
          <w:color w:val="auto"/>
        </w:rPr>
      </w:pPr>
    </w:p>
    <w:p>
      <w:pPr>
        <w:ind w:left="1240" w:firstLine="620"/>
        <w:spacing w:after="0" w:line="311" w:lineRule="auto"/>
        <w:tabs>
          <w:tab w:leader="none" w:pos="2474"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exercise price per Share with respect to an Option shall be equal to the Fair Market Value of a Share on the applicable grant date.</w:t>
      </w:r>
    </w:p>
    <w:p>
      <w:pPr>
        <w:spacing w:after="0" w:line="155" w:lineRule="exact"/>
        <w:rPr>
          <w:rFonts w:ascii="Times New Roman" w:cs="Times New Roman" w:eastAsia="Times New Roman" w:hAnsi="Times New Roman"/>
          <w:sz w:val="19"/>
          <w:szCs w:val="19"/>
          <w:color w:val="auto"/>
        </w:rPr>
      </w:pPr>
    </w:p>
    <w:p>
      <w:pPr>
        <w:ind w:left="2480" w:hanging="620"/>
        <w:spacing w:after="0"/>
        <w:tabs>
          <w:tab w:leader="none" w:pos="248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Option shall have a maximum term of ten years from the applicable grant date.</w:t>
      </w:r>
    </w:p>
    <w:p>
      <w:pPr>
        <w:spacing w:after="0" w:line="258" w:lineRule="exact"/>
        <w:rPr>
          <w:rFonts w:ascii="Times New Roman" w:cs="Times New Roman" w:eastAsia="Times New Roman" w:hAnsi="Times New Roman"/>
          <w:sz w:val="19"/>
          <w:szCs w:val="19"/>
          <w:color w:val="auto"/>
        </w:rPr>
      </w:pPr>
    </w:p>
    <w:p>
      <w:pPr>
        <w:jc w:val="both"/>
        <w:ind w:left="1240" w:right="80" w:firstLine="620"/>
        <w:spacing w:after="0" w:line="290" w:lineRule="auto"/>
        <w:tabs>
          <w:tab w:leader="none" w:pos="2476"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Shares subject to an Option shall be determined by dividing the value of the Option by the product of the multiplication of the ratio of the per share average closing price of the Company’s stock in the thirty-days prior to the</w:t>
      </w:r>
    </w:p>
    <w:p>
      <w:pPr>
        <w:jc w:val="both"/>
        <w:ind w:left="1240" w:right="80"/>
        <w:spacing w:after="0" w:line="29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applicable grant date to the closing price of the Company’s stock on the applicable grant date and the per share Black-Scholes valuation as of the applicable grant date, utilizing the same assumptions that the Company uses in preparation of its financial statements.</w:t>
      </w:r>
    </w:p>
    <w:p>
      <w:pPr>
        <w:spacing w:after="0" w:line="181" w:lineRule="exact"/>
        <w:rPr>
          <w:rFonts w:ascii="Times New Roman" w:cs="Times New Roman" w:eastAsia="Times New Roman" w:hAnsi="Times New Roman"/>
          <w:sz w:val="19"/>
          <w:szCs w:val="19"/>
          <w:color w:val="auto"/>
        </w:rPr>
      </w:pPr>
    </w:p>
    <w:p>
      <w:pPr>
        <w:ind w:left="1240" w:right="80" w:firstLine="620"/>
        <w:spacing w:after="0" w:line="311" w:lineRule="auto"/>
        <w:tabs>
          <w:tab w:leader="none" w:pos="2453"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Restricted Stock Units shall be determined by dividing the value of the Restricted Stock Units by the average closing price of the Company’s stock in the thirty-days prior to the applicable grant date.</w:t>
      </w:r>
    </w:p>
    <w:p>
      <w:pPr>
        <w:spacing w:after="0" w:line="156" w:lineRule="exact"/>
        <w:rPr>
          <w:sz w:val="20"/>
          <w:szCs w:val="20"/>
          <w:color w:val="auto"/>
        </w:rPr>
      </w:pPr>
    </w:p>
    <w:p>
      <w:pPr>
        <w:jc w:val="both"/>
        <w:ind w:firstLine="622"/>
        <w:spacing w:after="0" w:line="357" w:lineRule="auto"/>
        <w:tabs>
          <w:tab w:leader="none" w:pos="12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Limits</w:t>
      </w:r>
      <w:r>
        <w:rPr>
          <w:rFonts w:ascii="Times New Roman" w:cs="Times New Roman" w:eastAsia="Times New Roman" w:hAnsi="Times New Roman"/>
          <w:sz w:val="18"/>
          <w:szCs w:val="18"/>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2"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40" w:type="dxa"/>
            <w:vAlign w:val="bottom"/>
          </w:tcPr>
          <w:p>
            <w:pPr>
              <w:spacing w:after="0"/>
              <w:rPr>
                <w:sz w:val="17"/>
                <w:szCs w:val="17"/>
                <w:color w:val="auto"/>
              </w:rPr>
            </w:pPr>
          </w:p>
        </w:tc>
        <w:tc>
          <w:tcPr>
            <w:tcW w:w="8200" w:type="dxa"/>
            <w:vAlign w:val="bottom"/>
            <w:gridSpan w:val="3"/>
          </w:tcPr>
          <w:p>
            <w:pPr>
              <w:jc w:val="center"/>
              <w:ind w:right="2954"/>
              <w:spacing w:after="0"/>
              <w:rPr>
                <w:sz w:val="20"/>
                <w:szCs w:val="20"/>
                <w:color w:val="auto"/>
              </w:rPr>
            </w:pPr>
            <w:r>
              <w:rPr>
                <w:rFonts w:ascii="Times New Roman" w:cs="Times New Roman" w:eastAsia="Times New Roman" w:hAnsi="Times New Roman"/>
                <w:sz w:val="17"/>
                <w:szCs w:val="17"/>
                <w:b w:val="1"/>
                <w:bCs w:val="1"/>
                <w:color w:val="auto"/>
              </w:rPr>
              <w:t>LIST OF SUBSIDIARIES</w:t>
            </w:r>
          </w:p>
        </w:tc>
        <w:tc>
          <w:tcPr>
            <w:tcW w:w="0" w:type="dxa"/>
            <w:vAlign w:val="bottom"/>
          </w:tcPr>
          <w:p>
            <w:pPr>
              <w:spacing w:after="0"/>
              <w:rPr>
                <w:sz w:val="1"/>
                <w:szCs w:val="1"/>
                <w:color w:val="auto"/>
              </w:rPr>
            </w:pPr>
          </w:p>
        </w:tc>
      </w:tr>
      <w:tr>
        <w:trPr>
          <w:trHeight w:val="227"/>
        </w:trPr>
        <w:tc>
          <w:tcPr>
            <w:tcW w:w="3040" w:type="dxa"/>
            <w:vAlign w:val="bottom"/>
          </w:tcPr>
          <w:p>
            <w:pPr>
              <w:spacing w:after="0"/>
              <w:rPr>
                <w:sz w:val="19"/>
                <w:szCs w:val="19"/>
                <w:color w:val="auto"/>
              </w:rPr>
            </w:pPr>
          </w:p>
        </w:tc>
        <w:tc>
          <w:tcPr>
            <w:tcW w:w="8200" w:type="dxa"/>
            <w:vAlign w:val="bottom"/>
            <w:gridSpan w:val="3"/>
          </w:tcPr>
          <w:p>
            <w:pPr>
              <w:jc w:val="center"/>
              <w:ind w:right="2934"/>
              <w:spacing w:after="0"/>
              <w:rPr>
                <w:sz w:val="20"/>
                <w:szCs w:val="20"/>
                <w:color w:val="auto"/>
              </w:rPr>
            </w:pPr>
            <w:r>
              <w:rPr>
                <w:rFonts w:ascii="Times New Roman" w:cs="Times New Roman" w:eastAsia="Times New Roman" w:hAnsi="Times New Roman"/>
                <w:sz w:val="17"/>
                <w:szCs w:val="17"/>
                <w:b w:val="1"/>
                <w:bCs w:val="1"/>
                <w:color w:val="auto"/>
              </w:rPr>
              <w:t>OF PROCEPT BIOROBOTICS CORPORATION</w:t>
            </w:r>
          </w:p>
        </w:tc>
        <w:tc>
          <w:tcPr>
            <w:tcW w:w="0" w:type="dxa"/>
            <w:vAlign w:val="bottom"/>
          </w:tcPr>
          <w:p>
            <w:pPr>
              <w:spacing w:after="0"/>
              <w:rPr>
                <w:sz w:val="1"/>
                <w:szCs w:val="1"/>
                <w:color w:val="auto"/>
              </w:rPr>
            </w:pPr>
          </w:p>
        </w:tc>
      </w:tr>
      <w:tr>
        <w:trPr>
          <w:trHeight w:val="624"/>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w:t>
            </w: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27"/>
        </w:trPr>
        <w:tc>
          <w:tcPr>
            <w:tcW w:w="3040" w:type="dxa"/>
            <w:vAlign w:val="bottom"/>
            <w:vMerge w:val="continue"/>
          </w:tcPr>
          <w:p>
            <w:pPr>
              <w:spacing w:after="0"/>
              <w:rPr>
                <w:sz w:val="19"/>
                <w:szCs w:val="19"/>
                <w:color w:val="auto"/>
              </w:rPr>
            </w:pPr>
          </w:p>
        </w:tc>
        <w:tc>
          <w:tcPr>
            <w:tcW w:w="5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5"/>
        </w:trPr>
        <w:tc>
          <w:tcPr>
            <w:tcW w:w="304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PROCEPT BioRobotics GmbH</w:t>
            </w: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374"/>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PROCEPT BioRobotics UK Ltd.</w:t>
            </w: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374"/>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PROCEPT BioRobotics K.K.</w:t>
            </w: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Japan</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27" w:name="page128"/>
    <w:bookmarkEnd w:id="127"/>
    <w:p>
      <w:pPr>
        <w:jc w:val="right"/>
        <w:spacing w:after="0"/>
        <w:rPr>
          <w:sz w:val="20"/>
          <w:szCs w:val="20"/>
          <w:color w:val="auto"/>
        </w:rPr>
      </w:pPr>
      <w:r>
        <w:rPr>
          <w:rFonts w:ascii="Georgia" w:cs="Georgia" w:eastAsia="Georgia" w:hAnsi="Georgia"/>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Georgia" w:cs="Georgia" w:eastAsia="Georgia" w:hAnsi="Georgia"/>
          <w:sz w:val="21"/>
          <w:szCs w:val="21"/>
          <w:color w:val="auto"/>
        </w:rPr>
        <w:t>CONSENT OF INDEPENDENT REGISTERED PUBLIC ACCOUNTING FIRM</w:t>
      </w:r>
    </w:p>
    <w:p>
      <w:pPr>
        <w:spacing w:after="0" w:line="231" w:lineRule="exact"/>
        <w:rPr>
          <w:sz w:val="20"/>
          <w:szCs w:val="20"/>
          <w:color w:val="auto"/>
        </w:rPr>
      </w:pPr>
    </w:p>
    <w:p>
      <w:pPr>
        <w:ind w:right="180"/>
        <w:spacing w:after="0" w:line="233" w:lineRule="auto"/>
        <w:rPr>
          <w:sz w:val="20"/>
          <w:szCs w:val="20"/>
          <w:color w:val="auto"/>
        </w:rPr>
      </w:pPr>
      <w:r>
        <w:rPr>
          <w:rFonts w:ascii="Georgia" w:cs="Georgia" w:eastAsia="Georgia" w:hAnsi="Georgia"/>
          <w:sz w:val="21"/>
          <w:szCs w:val="21"/>
          <w:color w:val="auto"/>
        </w:rPr>
        <w:t>We hereby consent to the incorporation by reference in the Registration Statements on Form S-8 (Nos. 333-259586, 333-264758, 333-270113, 333-277461, and 333-285387) and Form S-3 (333-273569) of PROCEPT BioRobotics Corporation of our report dated February 26, 2026, relating to the financial statements and the effectiveness of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Georgia" w:cs="Georgia" w:eastAsia="Georgia" w:hAnsi="Georgia"/>
          <w:sz w:val="21"/>
          <w:szCs w:val="21"/>
          <w:color w:val="auto"/>
        </w:rPr>
        <w:t>/s/ PricewaterhouseCoopers LLP</w:t>
      </w:r>
    </w:p>
    <w:p>
      <w:pPr>
        <w:spacing w:after="0" w:line="233" w:lineRule="auto"/>
        <w:rPr>
          <w:sz w:val="20"/>
          <w:szCs w:val="20"/>
          <w:color w:val="auto"/>
        </w:rPr>
      </w:pPr>
      <w:r>
        <w:rPr>
          <w:rFonts w:ascii="Georgia" w:cs="Georgia" w:eastAsia="Georgia" w:hAnsi="Georgia"/>
          <w:sz w:val="21"/>
          <w:szCs w:val="21"/>
          <w:color w:val="auto"/>
        </w:rPr>
        <w:t>San Jose, California</w:t>
      </w:r>
    </w:p>
    <w:p>
      <w:pPr>
        <w:spacing w:after="0" w:line="234" w:lineRule="auto"/>
        <w:rPr>
          <w:sz w:val="20"/>
          <w:szCs w:val="20"/>
          <w:color w:val="auto"/>
        </w:rPr>
      </w:pPr>
      <w:r>
        <w:rPr>
          <w:rFonts w:ascii="Georgia" w:cs="Georgia" w:eastAsia="Georgia" w:hAnsi="Georgia"/>
          <w:sz w:val="21"/>
          <w:szCs w:val="21"/>
          <w:color w:val="auto"/>
        </w:rPr>
        <w:t>February 26, 2026</w:t>
      </w:r>
    </w:p>
    <w:p>
      <w:pPr>
        <w:sectPr>
          <w:pgSz w:w="11900" w:h="16838" w:orient="portrait"/>
          <w:cols w:equalWidth="0" w:num="1">
            <w:col w:w="11240"/>
          </w:cols>
          <w:pgMar w:left="320" w:top="124"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Larry Wood, certify that:</w:t>
      </w:r>
    </w:p>
    <w:p>
      <w:pPr>
        <w:spacing w:after="0" w:line="243" w:lineRule="exact"/>
        <w:rPr>
          <w:sz w:val="20"/>
          <w:szCs w:val="20"/>
          <w:color w:val="auto"/>
        </w:rPr>
      </w:pPr>
    </w:p>
    <w:p>
      <w:pPr>
        <w:ind w:left="420" w:hanging="417"/>
        <w:spacing w:after="0"/>
        <w:tabs>
          <w:tab w:leader="none" w:pos="4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PROCEPT BioRobotics Corporation;</w:t>
      </w:r>
    </w:p>
    <w:p>
      <w:pPr>
        <w:spacing w:after="0" w:line="242" w:lineRule="exact"/>
        <w:rPr>
          <w:rFonts w:ascii="Times New Roman" w:cs="Times New Roman" w:eastAsia="Times New Roman" w:hAnsi="Times New Roman"/>
          <w:sz w:val="17"/>
          <w:szCs w:val="17"/>
          <w:color w:val="auto"/>
        </w:rPr>
      </w:pPr>
    </w:p>
    <w:p>
      <w:pPr>
        <w:ind w:left="420" w:right="60" w:hanging="417"/>
        <w:spacing w:after="0" w:line="302" w:lineRule="auto"/>
        <w:tabs>
          <w:tab w:leader="none" w:pos="41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Times New Roman" w:cs="Times New Roman" w:eastAsia="Times New Roman" w:hAnsi="Times New Roman"/>
          <w:sz w:val="17"/>
          <w:szCs w:val="17"/>
          <w:color w:val="auto"/>
        </w:rPr>
      </w:pPr>
    </w:p>
    <w:p>
      <w:pPr>
        <w:ind w:left="420" w:right="160" w:hanging="417"/>
        <w:spacing w:after="0" w:line="318" w:lineRule="auto"/>
        <w:tabs>
          <w:tab w:leader="none" w:pos="41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ind w:left="420" w:right="120" w:hanging="417"/>
        <w:spacing w:after="0" w:line="293" w:lineRule="auto"/>
        <w:tabs>
          <w:tab w:leader="none" w:pos="41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7"/>
          <w:szCs w:val="17"/>
          <w:color w:val="auto"/>
        </w:rPr>
      </w:pPr>
    </w:p>
    <w:p>
      <w:pPr>
        <w:ind w:left="840" w:right="220" w:hanging="416"/>
        <w:spacing w:after="0" w:line="293" w:lineRule="auto"/>
        <w:tabs>
          <w:tab w:leader="none" w:pos="78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7"/>
          <w:szCs w:val="17"/>
          <w:color w:val="auto"/>
        </w:rPr>
      </w:pPr>
    </w:p>
    <w:p>
      <w:pPr>
        <w:ind w:left="840" w:right="20" w:hanging="416"/>
        <w:spacing w:after="0" w:line="293" w:lineRule="auto"/>
        <w:tabs>
          <w:tab w:leader="none" w:pos="79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Times New Roman" w:cs="Times New Roman" w:eastAsia="Times New Roman" w:hAnsi="Times New Roman"/>
          <w:sz w:val="17"/>
          <w:szCs w:val="17"/>
          <w:color w:val="auto"/>
        </w:rPr>
      </w:pPr>
    </w:p>
    <w:p>
      <w:pPr>
        <w:ind w:left="840" w:right="80" w:hanging="416"/>
        <w:spacing w:after="0" w:line="318" w:lineRule="auto"/>
        <w:tabs>
          <w:tab w:leader="none" w:pos="78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40" w:right="80" w:hanging="416"/>
        <w:spacing w:after="0" w:line="301" w:lineRule="auto"/>
        <w:tabs>
          <w:tab w:leader="none" w:pos="79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7"/>
          <w:szCs w:val="17"/>
          <w:color w:val="auto"/>
        </w:rPr>
      </w:pPr>
    </w:p>
    <w:p>
      <w:pPr>
        <w:ind w:left="420" w:right="560" w:hanging="417"/>
        <w:spacing w:after="0" w:line="302" w:lineRule="auto"/>
        <w:tabs>
          <w:tab w:leader="none" w:pos="41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840" w:hanging="416"/>
        <w:spacing w:after="0" w:line="318" w:lineRule="auto"/>
        <w:tabs>
          <w:tab w:leader="none" w:pos="77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840" w:right="240" w:hanging="416"/>
        <w:spacing w:after="0" w:line="318" w:lineRule="auto"/>
        <w:tabs>
          <w:tab w:leader="none" w:pos="78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 February 26, 2026</w:t>
            </w:r>
          </w:p>
        </w:tc>
        <w:tc>
          <w:tcPr>
            <w:tcW w:w="6440" w:type="dxa"/>
            <w:vAlign w:val="bottom"/>
            <w:gridSpan w:val="2"/>
          </w:tcPr>
          <w:p>
            <w:pPr>
              <w:ind w:left="1560"/>
              <w:spacing w:after="0"/>
              <w:rPr>
                <w:sz w:val="20"/>
                <w:szCs w:val="20"/>
                <w:color w:val="auto"/>
              </w:rPr>
            </w:pPr>
            <w:r>
              <w:rPr>
                <w:rFonts w:ascii="Times New Roman" w:cs="Times New Roman" w:eastAsia="Times New Roman" w:hAnsi="Times New Roman"/>
                <w:sz w:val="17"/>
                <w:szCs w:val="17"/>
                <w:color w:val="auto"/>
              </w:rPr>
              <w:t>By:</w:t>
            </w:r>
          </w:p>
        </w:tc>
        <w:tc>
          <w:tcPr>
            <w:tcW w:w="0" w:type="dxa"/>
            <w:vAlign w:val="bottom"/>
          </w:tcPr>
          <w:p>
            <w:pPr>
              <w:spacing w:after="0"/>
              <w:rPr>
                <w:sz w:val="1"/>
                <w:szCs w:val="1"/>
                <w:color w:val="auto"/>
              </w:rPr>
            </w:pPr>
          </w:p>
        </w:tc>
      </w:tr>
      <w:tr>
        <w:trPr>
          <w:trHeight w:val="129"/>
        </w:trPr>
        <w:tc>
          <w:tcPr>
            <w:tcW w:w="322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4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/s/ Larry Wood</w:t>
            </w:r>
          </w:p>
        </w:tc>
        <w:tc>
          <w:tcPr>
            <w:tcW w:w="0" w:type="dxa"/>
            <w:vAlign w:val="bottom"/>
          </w:tcPr>
          <w:p>
            <w:pPr>
              <w:spacing w:after="0"/>
              <w:rPr>
                <w:sz w:val="1"/>
                <w:szCs w:val="1"/>
                <w:color w:val="auto"/>
              </w:rPr>
            </w:pPr>
          </w:p>
        </w:tc>
      </w:tr>
      <w:tr>
        <w:trPr>
          <w:trHeight w:val="82"/>
        </w:trPr>
        <w:tc>
          <w:tcPr>
            <w:tcW w:w="32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45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Larry Wood</w:t>
            </w:r>
          </w:p>
        </w:tc>
        <w:tc>
          <w:tcPr>
            <w:tcW w:w="0" w:type="dxa"/>
            <w:vAlign w:val="bottom"/>
          </w:tcPr>
          <w:p>
            <w:pPr>
              <w:spacing w:after="0"/>
              <w:rPr>
                <w:sz w:val="1"/>
                <w:szCs w:val="1"/>
                <w:color w:val="auto"/>
              </w:rPr>
            </w:pPr>
          </w:p>
        </w:tc>
      </w:tr>
      <w:tr>
        <w:trPr>
          <w:trHeight w:val="276"/>
        </w:trPr>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w:t>
            </w:r>
          </w:p>
        </w:tc>
        <w:tc>
          <w:tcPr>
            <w:tcW w:w="0" w:type="dxa"/>
            <w:vAlign w:val="bottom"/>
          </w:tcPr>
          <w:p>
            <w:pPr>
              <w:spacing w:after="0"/>
              <w:rPr>
                <w:sz w:val="1"/>
                <w:szCs w:val="1"/>
                <w:color w:val="auto"/>
              </w:rPr>
            </w:pPr>
          </w:p>
        </w:tc>
      </w:tr>
      <w:tr>
        <w:trPr>
          <w:trHeight w:val="232"/>
        </w:trPr>
        <w:tc>
          <w:tcPr>
            <w:tcW w:w="3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5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Kevin Waters, certify that:</w:t>
      </w:r>
    </w:p>
    <w:p>
      <w:pPr>
        <w:spacing w:after="0" w:line="243" w:lineRule="exact"/>
        <w:rPr>
          <w:sz w:val="20"/>
          <w:szCs w:val="20"/>
          <w:color w:val="auto"/>
        </w:rPr>
      </w:pPr>
    </w:p>
    <w:p>
      <w:pPr>
        <w:ind w:left="420" w:hanging="417"/>
        <w:spacing w:after="0"/>
        <w:tabs>
          <w:tab w:leader="none" w:pos="4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PROCEPT BioRobotics Corporation;</w:t>
      </w:r>
    </w:p>
    <w:p>
      <w:pPr>
        <w:spacing w:after="0" w:line="242" w:lineRule="exact"/>
        <w:rPr>
          <w:rFonts w:ascii="Times New Roman" w:cs="Times New Roman" w:eastAsia="Times New Roman" w:hAnsi="Times New Roman"/>
          <w:sz w:val="17"/>
          <w:szCs w:val="17"/>
          <w:color w:val="auto"/>
        </w:rPr>
      </w:pPr>
    </w:p>
    <w:p>
      <w:pPr>
        <w:ind w:left="420" w:right="60" w:hanging="417"/>
        <w:spacing w:after="0" w:line="302" w:lineRule="auto"/>
        <w:tabs>
          <w:tab w:leader="none" w:pos="41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Times New Roman" w:cs="Times New Roman" w:eastAsia="Times New Roman" w:hAnsi="Times New Roman"/>
          <w:sz w:val="17"/>
          <w:szCs w:val="17"/>
          <w:color w:val="auto"/>
        </w:rPr>
      </w:pPr>
    </w:p>
    <w:p>
      <w:pPr>
        <w:ind w:left="420" w:right="160" w:hanging="417"/>
        <w:spacing w:after="0" w:line="318" w:lineRule="auto"/>
        <w:tabs>
          <w:tab w:leader="none" w:pos="41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ind w:left="420" w:right="120" w:hanging="417"/>
        <w:spacing w:after="0" w:line="293" w:lineRule="auto"/>
        <w:tabs>
          <w:tab w:leader="none" w:pos="41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7"/>
          <w:szCs w:val="17"/>
          <w:color w:val="auto"/>
        </w:rPr>
      </w:pPr>
    </w:p>
    <w:p>
      <w:pPr>
        <w:ind w:left="840" w:right="220" w:hanging="416"/>
        <w:spacing w:after="0" w:line="293" w:lineRule="auto"/>
        <w:tabs>
          <w:tab w:leader="none" w:pos="78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7"/>
          <w:szCs w:val="17"/>
          <w:color w:val="auto"/>
        </w:rPr>
      </w:pPr>
    </w:p>
    <w:p>
      <w:pPr>
        <w:ind w:left="840" w:right="20" w:hanging="416"/>
        <w:spacing w:after="0" w:line="293" w:lineRule="auto"/>
        <w:tabs>
          <w:tab w:leader="none" w:pos="79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Times New Roman" w:cs="Times New Roman" w:eastAsia="Times New Roman" w:hAnsi="Times New Roman"/>
          <w:sz w:val="17"/>
          <w:szCs w:val="17"/>
          <w:color w:val="auto"/>
        </w:rPr>
      </w:pPr>
    </w:p>
    <w:p>
      <w:pPr>
        <w:ind w:left="840" w:right="80" w:hanging="416"/>
        <w:spacing w:after="0" w:line="318" w:lineRule="auto"/>
        <w:tabs>
          <w:tab w:leader="none" w:pos="78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40" w:right="80" w:hanging="416"/>
        <w:spacing w:after="0" w:line="301" w:lineRule="auto"/>
        <w:tabs>
          <w:tab w:leader="none" w:pos="79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7"/>
          <w:szCs w:val="17"/>
          <w:color w:val="auto"/>
        </w:rPr>
      </w:pPr>
    </w:p>
    <w:p>
      <w:pPr>
        <w:ind w:left="420" w:right="560" w:hanging="417"/>
        <w:spacing w:after="0" w:line="302" w:lineRule="auto"/>
        <w:tabs>
          <w:tab w:leader="none" w:pos="41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840" w:hanging="416"/>
        <w:spacing w:after="0" w:line="318" w:lineRule="auto"/>
        <w:tabs>
          <w:tab w:leader="none" w:pos="772"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840" w:right="240" w:hanging="416"/>
        <w:spacing w:after="0" w:line="318" w:lineRule="auto"/>
        <w:tabs>
          <w:tab w:leader="none" w:pos="782"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26, 2026</w:t>
            </w:r>
          </w:p>
        </w:tc>
        <w:tc>
          <w:tcPr>
            <w:tcW w:w="1920" w:type="dxa"/>
            <w:vAlign w:val="bottom"/>
          </w:tcPr>
          <w:p>
            <w:pPr>
              <w:ind w:left="156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Kevin Waters</w:t>
            </w:r>
          </w:p>
        </w:tc>
      </w:tr>
      <w:tr>
        <w:trPr>
          <w:trHeight w:val="220"/>
        </w:trPr>
        <w:tc>
          <w:tcPr>
            <w:tcW w:w="3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Kevin Waters</w:t>
            </w:r>
          </w:p>
        </w:tc>
      </w:tr>
      <w:tr>
        <w:trPr>
          <w:trHeight w:val="276"/>
        </w:trPr>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Chief Financial Officer</w:t>
            </w:r>
          </w:p>
        </w:tc>
      </w:tr>
      <w:tr>
        <w:trPr>
          <w:trHeight w:val="232"/>
        </w:trPr>
        <w:tc>
          <w:tcPr>
            <w:tcW w:w="3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 and</w:t>
            </w:r>
          </w:p>
        </w:tc>
      </w:tr>
      <w:tr>
        <w:trPr>
          <w:trHeight w:val="232"/>
        </w:trPr>
        <w:tc>
          <w:tcPr>
            <w:tcW w:w="3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tc>
      </w:tr>
    </w:tbl>
    <w:p>
      <w:pPr>
        <w:sectPr>
          <w:pgSz w:w="11900" w:h="16838" w:orient="portrait"/>
          <w:cols w:equalWidth="0" w:num="1">
            <w:col w:w="11240"/>
          </w:cols>
          <w:pgMar w:left="320" w:top="957" w:right="339" w:bottom="1440" w:gutter="0" w:footer="0" w:header="0"/>
        </w:sectPr>
      </w:pPr>
    </w:p>
    <w:bookmarkStart w:id="130" w:name="page131"/>
    <w:bookmarkEnd w:id="13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4" w:lineRule="exact"/>
        <w:rPr>
          <w:sz w:val="20"/>
          <w:szCs w:val="20"/>
          <w:color w:val="auto"/>
        </w:rPr>
      </w:pPr>
    </w:p>
    <w:p>
      <w:pPr>
        <w:jc w:val="both"/>
        <w:ind w:right="140" w:firstLine="421"/>
        <w:spacing w:after="0" w:line="244" w:lineRule="auto"/>
        <w:rPr>
          <w:sz w:val="20"/>
          <w:szCs w:val="20"/>
          <w:color w:val="auto"/>
        </w:rPr>
      </w:pPr>
      <w:r>
        <w:rPr>
          <w:rFonts w:ascii="Times New Roman" w:cs="Times New Roman" w:eastAsia="Times New Roman" w:hAnsi="Times New Roman"/>
          <w:sz w:val="17"/>
          <w:szCs w:val="17"/>
          <w:color w:val="auto"/>
        </w:rPr>
        <w:t>In connection with the Annual Report of PROCEPT BioRobotics Corporation (the “Company”) on Form 10-K for the period ending December 31, 2025 as filed with the Securities and Exchange Commission on the date hereof (the “Report”), I certify, pursuant to 18 U.S.C. § 1350, as adopted pursuant to § 906 of the Sarbanes-Oxley Act of 2002, that, to the best of my knowledge:</w:t>
      </w:r>
    </w:p>
    <w:p>
      <w:pPr>
        <w:spacing w:after="0" w:line="199" w:lineRule="exact"/>
        <w:rPr>
          <w:sz w:val="20"/>
          <w:szCs w:val="20"/>
          <w:color w:val="auto"/>
        </w:rPr>
      </w:pPr>
    </w:p>
    <w:p>
      <w:pPr>
        <w:ind w:left="800" w:hanging="376"/>
        <w:spacing w:after="0"/>
        <w:tabs>
          <w:tab w:leader="none" w:pos="8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800" w:hanging="376"/>
        <w:spacing w:after="0"/>
        <w:tabs>
          <w:tab w:leader="none" w:pos="8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 February 26, 2026</w:t>
            </w:r>
          </w:p>
        </w:tc>
        <w:tc>
          <w:tcPr>
            <w:tcW w:w="7580" w:type="dxa"/>
            <w:vAlign w:val="bottom"/>
            <w:gridSpan w:val="2"/>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0" w:type="dxa"/>
            <w:vAlign w:val="bottom"/>
          </w:tcPr>
          <w:p>
            <w:pPr>
              <w:spacing w:after="0"/>
              <w:rPr>
                <w:sz w:val="1"/>
                <w:szCs w:val="1"/>
                <w:color w:val="auto"/>
              </w:rPr>
            </w:pPr>
          </w:p>
        </w:tc>
      </w:tr>
      <w:tr>
        <w:trPr>
          <w:trHeight w:val="142"/>
        </w:trPr>
        <w:tc>
          <w:tcPr>
            <w:tcW w:w="364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5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/s/ Larry Wood</w:t>
            </w:r>
          </w:p>
        </w:tc>
        <w:tc>
          <w:tcPr>
            <w:tcW w:w="0" w:type="dxa"/>
            <w:vAlign w:val="bottom"/>
          </w:tcPr>
          <w:p>
            <w:pPr>
              <w:spacing w:after="0"/>
              <w:rPr>
                <w:sz w:val="1"/>
                <w:szCs w:val="1"/>
                <w:color w:val="auto"/>
              </w:rPr>
            </w:pPr>
          </w:p>
        </w:tc>
      </w:tr>
      <w:tr>
        <w:trPr>
          <w:trHeight w:val="69"/>
        </w:trPr>
        <w:tc>
          <w:tcPr>
            <w:tcW w:w="36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5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Larry Wood</w:t>
            </w:r>
          </w:p>
        </w:tc>
        <w:tc>
          <w:tcPr>
            <w:tcW w:w="0" w:type="dxa"/>
            <w:vAlign w:val="bottom"/>
          </w:tcPr>
          <w:p>
            <w:pPr>
              <w:spacing w:after="0"/>
              <w:rPr>
                <w:sz w:val="1"/>
                <w:szCs w:val="1"/>
                <w:color w:val="auto"/>
              </w:rPr>
            </w:pPr>
          </w:p>
        </w:tc>
      </w:tr>
      <w:tr>
        <w:trPr>
          <w:trHeight w:val="289"/>
        </w:trPr>
        <w:tc>
          <w:tcPr>
            <w:tcW w:w="3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w:t>
            </w:r>
          </w:p>
        </w:tc>
        <w:tc>
          <w:tcPr>
            <w:tcW w:w="0" w:type="dxa"/>
            <w:vAlign w:val="bottom"/>
          </w:tcPr>
          <w:p>
            <w:pPr>
              <w:spacing w:after="0"/>
              <w:rPr>
                <w:sz w:val="1"/>
                <w:szCs w:val="1"/>
                <w:color w:val="auto"/>
              </w:rPr>
            </w:pPr>
          </w:p>
        </w:tc>
      </w:tr>
      <w:tr>
        <w:trPr>
          <w:trHeight w:val="232"/>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right="40" w:firstLine="421"/>
        <w:spacing w:after="0" w:line="293"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98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4" w:lineRule="exact"/>
        <w:rPr>
          <w:sz w:val="20"/>
          <w:szCs w:val="20"/>
          <w:color w:val="auto"/>
        </w:rPr>
      </w:pPr>
    </w:p>
    <w:p>
      <w:pPr>
        <w:jc w:val="both"/>
        <w:ind w:right="140" w:firstLine="421"/>
        <w:spacing w:after="0" w:line="244" w:lineRule="auto"/>
        <w:rPr>
          <w:sz w:val="20"/>
          <w:szCs w:val="20"/>
          <w:color w:val="auto"/>
        </w:rPr>
      </w:pPr>
      <w:r>
        <w:rPr>
          <w:rFonts w:ascii="Times New Roman" w:cs="Times New Roman" w:eastAsia="Times New Roman" w:hAnsi="Times New Roman"/>
          <w:sz w:val="17"/>
          <w:szCs w:val="17"/>
          <w:color w:val="auto"/>
        </w:rPr>
        <w:t>In connection with the Annual Report of PROCEPT BioRobotics Corporation (the “Company”) on Form 10-K for the period ending December 31, 2025 as filed with the Securities and Exchange Commission on the date hereof (the “Report”), I certify, pursuant to 18 U.S.C. § 1350, as adopted pursuant to § 906 of the Sarbanes-Oxley Act of 2002, that, to the best of my knowledge:</w:t>
      </w:r>
    </w:p>
    <w:p>
      <w:pPr>
        <w:spacing w:after="0" w:line="199" w:lineRule="exact"/>
        <w:rPr>
          <w:sz w:val="20"/>
          <w:szCs w:val="20"/>
          <w:color w:val="auto"/>
        </w:rPr>
      </w:pPr>
    </w:p>
    <w:p>
      <w:pPr>
        <w:ind w:left="800" w:hanging="376"/>
        <w:spacing w:after="0"/>
        <w:tabs>
          <w:tab w:leader="none" w:pos="8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800" w:hanging="376"/>
        <w:spacing w:after="0"/>
        <w:tabs>
          <w:tab w:leader="none" w:pos="8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 February 26, 2026</w:t>
            </w:r>
          </w:p>
        </w:tc>
        <w:tc>
          <w:tcPr>
            <w:tcW w:w="7580" w:type="dxa"/>
            <w:vAlign w:val="bottom"/>
            <w:gridSpan w:val="2"/>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0" w:type="dxa"/>
            <w:vAlign w:val="bottom"/>
          </w:tcPr>
          <w:p>
            <w:pPr>
              <w:spacing w:after="0"/>
              <w:rPr>
                <w:sz w:val="1"/>
                <w:szCs w:val="1"/>
                <w:color w:val="auto"/>
              </w:rPr>
            </w:pPr>
          </w:p>
        </w:tc>
      </w:tr>
      <w:tr>
        <w:trPr>
          <w:trHeight w:val="142"/>
        </w:trPr>
        <w:tc>
          <w:tcPr>
            <w:tcW w:w="364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5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 Kevin Waters</w:t>
            </w:r>
          </w:p>
        </w:tc>
        <w:tc>
          <w:tcPr>
            <w:tcW w:w="0" w:type="dxa"/>
            <w:vAlign w:val="bottom"/>
          </w:tcPr>
          <w:p>
            <w:pPr>
              <w:spacing w:after="0"/>
              <w:rPr>
                <w:sz w:val="1"/>
                <w:szCs w:val="1"/>
                <w:color w:val="auto"/>
              </w:rPr>
            </w:pPr>
          </w:p>
        </w:tc>
      </w:tr>
      <w:tr>
        <w:trPr>
          <w:trHeight w:val="69"/>
        </w:trPr>
        <w:tc>
          <w:tcPr>
            <w:tcW w:w="36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5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Kevin Waters</w:t>
            </w:r>
          </w:p>
        </w:tc>
        <w:tc>
          <w:tcPr>
            <w:tcW w:w="0" w:type="dxa"/>
            <w:vAlign w:val="bottom"/>
          </w:tcPr>
          <w:p>
            <w:pPr>
              <w:spacing w:after="0"/>
              <w:rPr>
                <w:sz w:val="1"/>
                <w:szCs w:val="1"/>
                <w:color w:val="auto"/>
              </w:rPr>
            </w:pPr>
          </w:p>
        </w:tc>
      </w:tr>
      <w:tr>
        <w:trPr>
          <w:trHeight w:val="289"/>
        </w:trPr>
        <w:tc>
          <w:tcPr>
            <w:tcW w:w="3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Chief Financial Officer</w:t>
            </w:r>
          </w:p>
        </w:tc>
        <w:tc>
          <w:tcPr>
            <w:tcW w:w="0" w:type="dxa"/>
            <w:vAlign w:val="bottom"/>
          </w:tcPr>
          <w:p>
            <w:pPr>
              <w:spacing w:after="0"/>
              <w:rPr>
                <w:sz w:val="1"/>
                <w:szCs w:val="1"/>
                <w:color w:val="auto"/>
              </w:rPr>
            </w:pPr>
          </w:p>
        </w:tc>
      </w:tr>
      <w:tr>
        <w:trPr>
          <w:trHeight w:val="224"/>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 and</w:t>
            </w:r>
          </w:p>
        </w:tc>
        <w:tc>
          <w:tcPr>
            <w:tcW w:w="0" w:type="dxa"/>
            <w:vAlign w:val="bottom"/>
          </w:tcPr>
          <w:p>
            <w:pPr>
              <w:spacing w:after="0"/>
              <w:rPr>
                <w:sz w:val="1"/>
                <w:szCs w:val="1"/>
                <w:color w:val="auto"/>
              </w:rPr>
            </w:pPr>
          </w:p>
        </w:tc>
      </w:tr>
      <w:tr>
        <w:trPr>
          <w:trHeight w:val="227"/>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right="40" w:firstLine="421"/>
        <w:spacing w:after="0" w:line="293"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9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o"/>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upperLetter"/>
      <w:start w:val="6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lowerRoman"/>
      <w:start w:val="5"/>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9"/>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9">
    <w:nsid w:val="579BE4F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
    <w:nsid w:val="310C50B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1">
    <w:nsid w:val="5FF87E05"/>
    <w:multiLevelType w:val="hybridMultilevel"/>
    <w:lvl w:ilvl="0">
      <w:lvlJc w:val="left"/>
      <w:lvlText w:val="%1."/>
      <w:numFmt w:val="lowerLetter"/>
      <w:start w:val="4"/>
    </w:lvl>
    <w:lvl w:ilvl="1">
      <w:lvlJc w:val="left"/>
      <w:lvlText w:val="%2."/>
      <w:numFmt w:val="lowerRoman"/>
      <w:start w:val="1"/>
    </w:lvl>
  </w:abstractNum>
  <w:abstractNum w:abstractNumId="62">
    <w:nsid w:val="2F305DEF"/>
    <w:multiLevelType w:val="hybridMultilevel"/>
    <w:lvl w:ilvl="0">
      <w:lvlJc w:val="left"/>
      <w:lvlText w:val="%1."/>
      <w:numFmt w:val="decimal"/>
      <w:start w:val="3"/>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0" Type="http://schemas.openxmlformats.org/officeDocument/2006/relationships/image" Target="media/image137.png"/><Relationship Id="rId173" Type="http://schemas.openxmlformats.org/officeDocument/2006/relationships/image" Target="media/image138.png"/><Relationship Id="rId175" Type="http://schemas.openxmlformats.org/officeDocument/2006/relationships/image" Target="media/image139.png"/><Relationship Id="rId144" Type="http://schemas.openxmlformats.org/officeDocument/2006/relationships/hyperlink" Target="https://www.sec.gov/Archives/edgar/data/0001588978/000162828021018923/exhibit31-closing8xk.htm" TargetMode="External"/><Relationship Id="rId145" Type="http://schemas.openxmlformats.org/officeDocument/2006/relationships/hyperlink" Target="https://www.sec.gov/Archives/edgar/data/0001588978/000162828021018923/exhibit32-closing8xk.htm" TargetMode="External"/><Relationship Id="rId146" Type="http://schemas.openxmlformats.org/officeDocument/2006/relationships/hyperlink" Target="https://www.sec.gov/Archives/edgar/data/1588978/000162828022006885/exhibit41-descriptionofcap.htm" TargetMode="External"/><Relationship Id="rId147" Type="http://schemas.openxmlformats.org/officeDocument/2006/relationships/hyperlink" Target="https://www.sec.gov/Archives/edgar/data/1588978/000162828021017245/exhibit101-sx1.htm" TargetMode="External"/><Relationship Id="rId148" Type="http://schemas.openxmlformats.org/officeDocument/2006/relationships/hyperlink" Target="https://www.sec.gov/Archives/edgar/data/1588978/000162828021017245/exhibit102-sx1.htm" TargetMode="External"/><Relationship Id="rId149" Type="http://schemas.openxmlformats.org/officeDocument/2006/relationships/hyperlink" Target="https://www.sec.gov/Archives/edgar/data/1588978/000162828021017245/exhibit103-sx1.htm" TargetMode="External"/><Relationship Id="rId150" Type="http://schemas.openxmlformats.org/officeDocument/2006/relationships/hyperlink" Target="https://www.sec.gov/Archives/edgar/data/1588978/000158897823000016/exhibit1018-nouriofferlett.htm" TargetMode="External"/><Relationship Id="rId151" Type="http://schemas.openxmlformats.org/officeDocument/2006/relationships/hyperlink" Target="https://www.sec.gov/Archives/edgar/data/1588978/000162828025035979/a20250723proceptexecutivee.htm" TargetMode="External"/><Relationship Id="rId152" Type="http://schemas.openxmlformats.org/officeDocument/2006/relationships/hyperlink" Target="https://www.sec.gov/Archives/edgar/data/0001588978/000162828021018188/exhibit104-sx1a1.htm" TargetMode="External"/><Relationship Id="rId153" Type="http://schemas.openxmlformats.org/officeDocument/2006/relationships/hyperlink" Target="https://www.sec.gov/Archives/edgar/data/0001588978/000162828021018188/exhibit104a-sx1a1.htm" TargetMode="External"/><Relationship Id="rId154" Type="http://schemas.openxmlformats.org/officeDocument/2006/relationships/hyperlink" Target="https://www.sec.gov/Archives/edgar/data/0001588978/000162828021018188/exhibit105-sx1a1.htm" TargetMode="External"/><Relationship Id="rId155" Type="http://schemas.openxmlformats.org/officeDocument/2006/relationships/hyperlink" Target="https://www.sec.gov/Archives/edgar/data/1588978/000162828021017245/exhibit106-sx1.htm" TargetMode="External"/><Relationship Id="rId156" Type="http://schemas.openxmlformats.org/officeDocument/2006/relationships/hyperlink" Target="https://www.sec.gov/Archives/edgar/data/1588978/000162828021017245/exhibit108-sx1.htm" TargetMode="External"/><Relationship Id="rId157" Type="http://schemas.openxmlformats.org/officeDocument/2006/relationships/hyperlink" Target="https://www.sec.gov/Archives/edgar/data/1588978/000162828021018188/exhibit1011-sx1a1.htm" TargetMode="External"/><Relationship Id="rId158" Type="http://schemas.openxmlformats.org/officeDocument/2006/relationships/hyperlink" Target="https://www.sec.gov/Archives/edgar/data/1588978/000162828021018188/ex1011a-sx1a1.htm" TargetMode="External"/><Relationship Id="rId159" Type="http://schemas.openxmlformats.org/officeDocument/2006/relationships/hyperlink" Target="https://www.sec.gov/Archives/edgar/data/1588978/000162828021018188/exhibit1011b-sx1a1.htm" TargetMode="External"/><Relationship Id="rId161" Type="http://schemas.openxmlformats.org/officeDocument/2006/relationships/hyperlink" Target="https://www.sec.gov/Archives/edgar/data/1588978/000158897824000013/prct-20240331.htm" TargetMode="External"/><Relationship Id="rId162" Type="http://schemas.openxmlformats.org/officeDocument/2006/relationships/hyperlink" Target="https://www.sec.gov/Archives/edgar/data/1588978/000158897825000033/formof2025psuagreement2021.htm" TargetMode="External"/><Relationship Id="rId163" Type="http://schemas.openxmlformats.org/officeDocument/2006/relationships/hyperlink" Target="https://www.sec.gov/Archives/edgar/data/1588978/000158897824000030/a101amendedandrestated20.htm" TargetMode="External"/><Relationship Id="rId164" Type="http://schemas.openxmlformats.org/officeDocument/2006/relationships/hyperlink" Target="https://www.sec.gov/Archives/edgar/data/0001588978/000162828021018188/exhibit1014-sx1a1.htm" TargetMode="External"/><Relationship Id="rId165" Type="http://schemas.openxmlformats.org/officeDocument/2006/relationships/hyperlink" Target="https://www.sec.gov/Archives/edgar/data/1588978/000158897823000016/exhibit1019-nourichangeofc.htm" TargetMode="External"/><Relationship Id="rId166" Type="http://schemas.openxmlformats.org/officeDocument/2006/relationships/hyperlink" Target="https://www.sec.gov/ix?doc=/Archives/edgar/data/1588978/000162828022026185/prct-20221006.htm" TargetMode="External"/><Relationship Id="rId167" Type="http://schemas.openxmlformats.org/officeDocument/2006/relationships/hyperlink" Target="https://www.sec.gov/Archives/edgar/data/1588978/000162828023020562/firstamendmenttocibcloanam.htm" TargetMode="External"/><Relationship Id="rId168" Type="http://schemas.openxmlformats.org/officeDocument/2006/relationships/hyperlink" Target="https://www.sec.gov/Archives/edgar/data/1588978/000158897825000043/secondamendmenttolsa.htm" TargetMode="External"/><Relationship Id="rId169" Type="http://schemas.openxmlformats.org/officeDocument/2006/relationships/hyperlink" Target="https://www.sec.gov/Archives/edgar/data/1588978/000158897825000045/a20250915formuschangeofctr.htm" TargetMode="External"/><Relationship Id="rId170" Type="http://schemas.openxmlformats.org/officeDocument/2006/relationships/hyperlink" Target="https://www.sec.gov/Archives/edgar/data/1588978/000158897823000009/exhibit1017-proceptxhydroc.htm" TargetMode="External"/><Relationship Id="rId171" Type="http://schemas.openxmlformats.org/officeDocument/2006/relationships/hyperlink" Target="https://www.sec.gov/Archives/edgar/data/1588978/000162828025035979/transitionandretirementagr.htm" TargetMode="External"/><Relationship Id="rId172" Type="http://schemas.openxmlformats.org/officeDocument/2006/relationships/hyperlink" Target="https://www.sec.gov/Archives/edgar/data/1588978/000158897825000018/procept-insidertradingcomp.htm" TargetMode="External"/><Relationship Id="rId174" Type="http://schemas.openxmlformats.org/officeDocument/2006/relationships/hyperlink" Target="https://www.sec.gov/ix?doc=/Archives/edgar/data/1588978/000158897824000006/prct-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2026-02-26T16:05:38Z</dcterms:created>
  <dcterms:modified xsi:type="dcterms:W3CDTF">2026-02-26T16:05:38Z</dcterms:modified>
</cp:coreProperties>
</file>