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6, 2025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001-40797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26-0199180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150 Baytech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California 95134</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232-7200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912" w:type="dxa"/>
        <w:jc w:val="left"/>
        <w:tblInd w:w="0" w:type="dxa"/>
        <w:tblLayout w:type="fixed"/>
        <w:tblCellMar>
          <w:top w:w="28" w:type="dxa"/>
          <w:left w:w="28" w:type="dxa"/>
          <w:bottom w:w="28" w:type="dxa"/>
          <w:right w:w="28" w:type="dxa"/>
        </w:tblCellMar>
      </w:tblPr>
      <w:tblGrid>
        <w:gridCol w:w="1437"/>
        <w:gridCol w:w="1260"/>
        <w:gridCol w:w="1277"/>
        <w:gridCol w:w="109"/>
        <w:gridCol w:w="109"/>
        <w:gridCol w:w="109"/>
        <w:gridCol w:w="274"/>
        <w:gridCol w:w="274"/>
        <w:gridCol w:w="276"/>
        <w:gridCol w:w="109"/>
        <w:gridCol w:w="109"/>
        <w:gridCol w:w="109"/>
        <w:gridCol w:w="720"/>
        <w:gridCol w:w="720"/>
        <w:gridCol w:w="1020"/>
      </w:tblGrid>
      <w:tr>
        <w:trPr/>
        <w:tc>
          <w:tcPr>
            <w:tcW w:w="14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PRCT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August 6, 2025</w:t>
      </w:r>
      <w:r>
        <w:rPr>
          <w:rFonts w:ascii="Times New Roman;serif" w:hAnsi="Times New Roman;serif"/>
          <w:b w:val="false"/>
          <w:color w:val="000000"/>
          <w:sz w:val="20"/>
          <w:shd w:fill="FFFFFF" w:val="clear"/>
        </w:rPr>
        <w:t xml:space="preserve">, PROCEPT BioRobotics Corporation (the "Company") issued a press release announcing its financial results for the quarter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The full text of the press release is furnished as Exhibit 99.1 to this Current Report on Form 8-K and is incorporated herein by reference.</w:t>
      </w:r>
    </w:p>
    <w:p>
      <w:pPr>
        <w:pStyle w:val="TextBody"/>
        <w:bidi w:val="0"/>
        <w:spacing w:lineRule="auto" w:line="288" w:before="1" w:after="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557"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829"/>
        <w:gridCol w:w="1829"/>
        <w:gridCol w:w="262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pPr>
            <w:hyperlink w:anchor="prct_q22025earningsrelease.htm">
              <w:r>
                <w:rPr>
                  <w:rStyle w:val="InternetLink"/>
                  <w:rFonts w:ascii="Times New Roman;serif" w:hAnsi="Times New Roman;serif"/>
                  <w:b w:val="false"/>
                  <w:color w:val="000080"/>
                  <w:sz w:val="20"/>
                  <w:u w:val="single"/>
                </w:rPr>
                <w:t>Press Release of PROCEPT BioRobotics Corporation, dated A</w:t>
              </w:r>
            </w:hyperlink>
            <w:hyperlink w:anchor="prct_q22025earningsrelease.htm">
              <w:r>
                <w:rPr>
                  <w:rStyle w:val="InternetLink"/>
                  <w:rFonts w:ascii="Times New Roman;serif" w:hAnsi="Times New Roman;serif"/>
                  <w:b w:val="false"/>
                  <w:color w:val="000080"/>
                  <w:sz w:val="20"/>
                  <w:u w:val="single"/>
                </w:rPr>
                <w:t>ugu</w:t>
              </w:r>
            </w:hyperlink>
            <w:hyperlink w:anchor="prct_q22025earningsrelease.htm">
              <w:r>
                <w:rPr>
                  <w:rStyle w:val="InternetLink"/>
                  <w:rFonts w:ascii="Times New Roman;serif" w:hAnsi="Times New Roman;serif"/>
                  <w:b w:val="false"/>
                  <w:color w:val="000080"/>
                  <w:sz w:val="20"/>
                  <w:u w:val="single"/>
                </w:rPr>
                <w:t>st</w:t>
              </w:r>
            </w:hyperlink>
            <w:hyperlink w:anchor="prct_q22025earningsrelease.htm">
              <w:r>
                <w:rPr>
                  <w:rStyle w:val="InternetLink"/>
                  <w:rFonts w:ascii="Times New Roman;serif" w:hAnsi="Times New Roman;serif"/>
                  <w:b w:val="false"/>
                  <w:color w:val="000080"/>
                  <w:sz w:val="20"/>
                  <w:u w:val="single"/>
                </w:rPr>
                <w:t xml:space="preserve"> </w:t>
              </w:r>
            </w:hyperlink>
            <w:hyperlink w:anchor="prct_q22025earningsrelease.htm">
              <w:r>
                <w:rPr>
                  <w:rStyle w:val="InternetLink"/>
                  <w:rFonts w:ascii="Times New Roman;serif" w:hAnsi="Times New Roman;serif"/>
                  <w:b w:val="false"/>
                  <w:color w:val="000080"/>
                  <w:sz w:val="20"/>
                  <w:u w:val="single"/>
                </w:rPr>
                <w:t>6</w:t>
              </w:r>
            </w:hyperlink>
            <w:hyperlink w:anchor="prct_q22025earningsrelease.htm">
              <w:r>
                <w:rPr>
                  <w:rStyle w:val="InternetLink"/>
                  <w:rFonts w:ascii="Times New Roman;serif" w:hAnsi="Times New Roman;serif"/>
                  <w:b w:val="false"/>
                  <w:color w:val="000080"/>
                  <w:sz w:val="20"/>
                  <w:u w:val="single"/>
                </w:rPr>
                <w:t>, 2025</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6890" w:type="dxa"/>
        <w:jc w:val="left"/>
        <w:tblInd w:w="0" w:type="dxa"/>
        <w:tblLayout w:type="fixed"/>
        <w:tblCellMar>
          <w:top w:w="28" w:type="dxa"/>
          <w:left w:w="28" w:type="dxa"/>
          <w:bottom w:w="28" w:type="dxa"/>
          <w:right w:w="28" w:type="dxa"/>
        </w:tblCellMar>
      </w:tblPr>
      <w:tblGrid>
        <w:gridCol w:w="668"/>
        <w:gridCol w:w="585"/>
        <w:gridCol w:w="591"/>
        <w:gridCol w:w="109"/>
        <w:gridCol w:w="109"/>
        <w:gridCol w:w="109"/>
        <w:gridCol w:w="623"/>
        <w:gridCol w:w="623"/>
        <w:gridCol w:w="623"/>
        <w:gridCol w:w="833"/>
        <w:gridCol w:w="833"/>
        <w:gridCol w:w="1184"/>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6"/>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PROCEPT BIOROBOTICS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Alaleh Nouri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Alaleh Nouri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sans-serif" w:hAnsi="sans-serif"/>
          <w:b/>
          <w:color w:val="000000"/>
          <w:sz w:val="20"/>
        </w:rPr>
      </w:pPr>
      <w:r>
        <w:rPr>
          <w:rFonts w:ascii="sans-serif" w:hAnsi="sans-serif"/>
          <w:b/>
          <w:color w:val="000000"/>
          <w:sz w:val="20"/>
        </w:rPr>
        <w:t xml:space="preserve">PROCEPT BioRobotics Reports Second Quarter 2025 Financial Results and Increases 2025 Revenue Guidance </w:t>
      </w:r>
    </w:p>
    <w:p>
      <w:pPr>
        <w:pStyle w:val="TextBody"/>
        <w:bidi w:val="0"/>
        <w:spacing w:before="0" w:after="2"/>
        <w:jc w:val="center"/>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SAN JOSE, Calif., August 6, 2025 -- PROCEPT BioRobotics® Corporation (Nasdaq: PRCT) (the “Company”), a surgical robotics company focused on advancing patient care by developing transformative solutions in urology, today reported unaudited financial results for the quarter ended June 30, 2025.</w:t>
      </w:r>
    </w:p>
    <w:p>
      <w:pPr>
        <w:pStyle w:val="TextBody"/>
        <w:bidi w:val="0"/>
        <w:spacing w:before="0" w:after="0"/>
        <w:jc w:val="left"/>
        <w:rPr/>
      </w:pPr>
      <w:r>
        <w:rPr/>
      </w:r>
    </w:p>
    <w:p>
      <w:pPr>
        <w:pStyle w:val="TextBody"/>
        <w:bidi w:val="0"/>
        <w:spacing w:lineRule="auto" w:line="240" w:before="0" w:after="0"/>
        <w:jc w:val="left"/>
        <w:rPr>
          <w:rFonts w:ascii="sans-serif" w:hAnsi="sans-serif"/>
          <w:b/>
          <w:color w:val="000000"/>
          <w:sz w:val="20"/>
        </w:rPr>
      </w:pPr>
      <w:r>
        <w:rPr>
          <w:rFonts w:ascii="sans-serif" w:hAnsi="sans-serif"/>
          <w:b/>
          <w:color w:val="000000"/>
          <w:sz w:val="20"/>
        </w:rPr>
        <w:t xml:space="preserve">Recent Highlights </w:t>
      </w:r>
    </w:p>
    <w:p>
      <w:pPr>
        <w:pStyle w:val="TextBody"/>
        <w:bidi w:val="0"/>
        <w:spacing w:before="0" w:after="0"/>
        <w:jc w:val="left"/>
        <w:rPr/>
      </w:pPr>
      <w:r>
        <w:rPr/>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Total revenue of $79.2 million for the second quarter of 2025, an increase of 48% compared to the prior year period in 2024</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U.S. handpiece and consumables revenue of $43.1 million for the second quarter of 2025, an increase of 58% compared to the prior year period in 2024</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Sold</w:t>
      </w:r>
      <w:r>
        <w:rPr>
          <w:color w:val="000000"/>
          <w:shd w:fill="FFFFFF" w:val="clear"/>
        </w:rPr>
        <w:t xml:space="preserve"> </w:t>
      </w:r>
      <w:r>
        <w:rPr>
          <w:rFonts w:ascii="sans-serif" w:hAnsi="sans-serif"/>
          <w:b w:val="false"/>
          <w:color w:val="000000"/>
          <w:sz w:val="20"/>
          <w:shd w:fill="FFFFFF" w:val="clear"/>
        </w:rPr>
        <w:t xml:space="preserve">51 </w:t>
      </w:r>
      <w:r>
        <w:rPr>
          <w:rFonts w:ascii="sans-serif" w:hAnsi="sans-serif"/>
          <w:b w:val="false"/>
          <w:color w:val="000000"/>
          <w:sz w:val="20"/>
        </w:rPr>
        <w:t>robotic systems in the U.S. in the second quarter of 2025</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U.S. system and rental revenue of $22.1 million for the second quarter of 2025, an increase of 24% compared to the prior year period in 2024</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International revenue of $9.6 million for the second quarter of 2025, an increase of 69% compared to the prior year period in 2024</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Increased fiscal year 2025 total reve</w:t>
      </w:r>
      <w:r>
        <w:rPr>
          <w:rFonts w:ascii="sans-serif" w:hAnsi="sans-serif"/>
          <w:b w:val="false"/>
          <w:color w:val="000000"/>
          <w:sz w:val="20"/>
          <w:shd w:fill="FFFFFF" w:val="clear"/>
        </w:rPr>
        <w:t>nue guidance to $325.5 million, an increase of 45% compared to the prior year period in 2024</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 xml:space="preserve">Appointed Larry Wood as chief executive officer, effective September 2, 2025, bringing 40 years of leadership experience in the global medical technology industry </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sans-serif" w:hAnsi="sans-serif"/>
          <w:b w:val="false"/>
          <w:color w:val="000000"/>
          <w:sz w:val="20"/>
        </w:rPr>
        <w:t>We delivered another strong quarter, with revenue growing 48% year-over-year, driven by robust global demand and continued procedural momentum,” said Reza Zadno, chief executive officer. “Throughout the second quarter, we remained focused on expanding utilization of Aquablation® therapy in the U.S., deepening penetration within the U.S. BPH hospital market, accelerating enrollment in the WATER IV prostate cancer study, and advancing our commercial efforts in key international markets. We believe these initiatives position us well for sustained growth and long-term value creation.”</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Second Quarter 2025 Financial Results</w:t>
      </w:r>
    </w:p>
    <w:p>
      <w:pPr>
        <w:pStyle w:val="TextBody"/>
        <w:bidi w:val="0"/>
        <w:spacing w:before="0" w:after="0"/>
        <w:jc w:val="left"/>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 xml:space="preserve">Total revenue for the second quarter of 2025 was $79.2 million, an increase of 48% compared to the prior year period. U.S. revenue was $69.6 million, representing growth of 46% compared to the prior year period. The increase was primarily driven by system sales to new hospital customers and increased handpiece revenue. U.S. handpiece and consumable revenue for the second quarter of 2025 was $43.1 million, an increase of 58% compared to the prior year period. U.S. system revenue for the second quarter of 2025 was $22.1 million, an increase of 24% compared to the prior year period. As of June 30, 2025, the install base of robotic systems in the U.S. was 595 systems. International revenue was $9.6 million for the quarter, an increase of 69% compared to the prior year period. </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 xml:space="preserve">Gross margin for the second quarter 2025 was 65% compared to 59% in the prior year period and 64% in the first quarter of 2025. Gross margin expansion in the second quarter was due to improved operational efficiencies and overhead absorption, along with higher average selling prices on U.S. robotic systems. </w:t>
      </w:r>
    </w:p>
    <w:p>
      <w:pPr>
        <w:pStyle w:val="TextBody"/>
        <w:bidi w:val="0"/>
        <w:spacing w:before="0" w:after="2"/>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Operating expenses in the second quarter of 2025 were $73.9 million, compared with $58.3 million in the prior year period. The increase in operating expenses was primarily due to expenses to expand the commercial organization, increased research and development expenses and increased general and administrative expenses.</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 xml:space="preserve">Net loss was $19.6 million for the second quarter of 2025, compared to a loss of $25.6 million in the prior year period. Adjusted EBITDA was a loss of $8.0 million for the second quarter of 2025, compared to a loss of $17.9 million in the prior year period. </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 xml:space="preserve">Cash, cash equivalents and restricted cash balances as of June 30, 2025, totaled $305.8, while long-term borrowings totaled $52.0 million. </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 xml:space="preserve">Full Year 2025 Financial Guidance </w:t>
      </w:r>
    </w:p>
    <w:p>
      <w:pPr>
        <w:pStyle w:val="TextBody"/>
        <w:bidi w:val="0"/>
        <w:spacing w:before="0" w:after="0"/>
        <w:jc w:val="left"/>
        <w:rPr/>
      </w:pPr>
      <w:r>
        <w:rPr/>
      </w:r>
    </w:p>
    <w:p>
      <w:pPr>
        <w:pStyle w:val="TextBody"/>
        <w:bidi w:val="0"/>
        <w:spacing w:lineRule="auto" w:line="300"/>
        <w:ind w:left="0" w:right="0" w:hanging="360"/>
        <w:jc w:val="left"/>
        <w:rPr/>
      </w:pPr>
      <w:r>
        <w:rPr>
          <w:color w:val="000000"/>
        </w:rPr>
        <w:t>•</w:t>
      </w:r>
      <w:r>
        <w:rPr>
          <w:rFonts w:ascii="sans-serif" w:hAnsi="sans-serif"/>
          <w:b w:val="false"/>
          <w:color w:val="000000"/>
          <w:sz w:val="20"/>
        </w:rPr>
        <w:t>The Company projects revenue for the full year 2025 revenue to be approximately $325.5 million, which represents 45% growth over the Company’s prior year revenue. This compares to previous revenue guidance of $323.0 million.</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 xml:space="preserve">The Company expects full year 2025 gross margin to be approximately 64.5%. Should global tariff rates remain at current levels, the Company estimates a potential gross margin headwind of approximately $1.0 to $2.0 million.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The Company projects full year 2025 total operating expense of approximately $302.0 million. This compares to previous operating expense guidance of $300.0 million</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The Company projects full year 2025 Adjusted EBITDA loss to be approximately ($35.0) million.</w:t>
      </w:r>
    </w:p>
    <w:p>
      <w:pPr>
        <w:pStyle w:val="TextBody"/>
        <w:bidi w:val="0"/>
        <w:spacing w:before="0" w:after="0"/>
        <w:jc w:val="left"/>
        <w:rPr/>
      </w:pPr>
      <w:r>
        <w:rPr/>
      </w:r>
    </w:p>
    <w:p>
      <w:pPr>
        <w:pStyle w:val="TextBody"/>
        <w:bidi w:val="0"/>
        <w:spacing w:lineRule="auto" w:line="240" w:before="0" w:after="0"/>
        <w:jc w:val="left"/>
        <w:rPr>
          <w:rFonts w:ascii="sans-serif" w:hAnsi="sans-serif"/>
          <w:b w:val="false"/>
          <w:color w:val="000000"/>
          <w:sz w:val="20"/>
        </w:rPr>
      </w:pPr>
      <w:r>
        <w:rPr>
          <w:rFonts w:ascii="sans-serif" w:hAnsi="sans-serif"/>
          <w:b w:val="false"/>
          <w:color w:val="000000"/>
          <w:sz w:val="20"/>
        </w:rPr>
        <w:t xml:space="preserve">Adjusted EBITDA is a financial measure that is not prepared in accordance with generally accepted accounting principles in the United States (GAAP). For more information about the Company’s use of non-GAAP financial measures, please see the section below titled “Use of Non-GAAP Financial Measures (Unaudited).” </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 xml:space="preserve">Webcast and Conference Call Information </w:t>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PROCEPT BioRobotics will host a conference call to discuss the second quarter 2025 financial results on Wednesday, August 6, 2025, at 4:30 p.m. Eastern Time.</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Investors interested in listening to the conference call may do so by following one of the below links:</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Webcast link for interested listeners:</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 xml:space="preserve">https://edge.media-server.com/mmc/p/apg8aowj/ </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Dial-in registration for sell-side research analysts:</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https://register-conf.media-server.com/register/BI6a34da2819a549879a20996d9920dc2f</w:t>
      </w:r>
    </w:p>
    <w:p>
      <w:pPr>
        <w:pStyle w:val="TextBody"/>
        <w:bidi w:val="0"/>
        <w:spacing w:before="0" w:after="0"/>
        <w:jc w:val="left"/>
        <w:rPr/>
      </w:pPr>
      <w:r>
        <w:rPr/>
      </w:r>
    </w:p>
    <w:p>
      <w:pPr>
        <w:pStyle w:val="TextBody"/>
        <w:bidi w:val="0"/>
        <w:spacing w:lineRule="auto" w:line="240" w:before="0" w:after="0"/>
        <w:jc w:val="left"/>
        <w:rPr>
          <w:rFonts w:ascii="sans-serif" w:hAnsi="sans-serif"/>
          <w:b/>
          <w:color w:val="000000"/>
          <w:sz w:val="20"/>
        </w:rPr>
      </w:pPr>
      <w:r>
        <w:rPr>
          <w:rFonts w:ascii="sans-serif" w:hAnsi="sans-serif"/>
          <w:b/>
          <w:color w:val="000000"/>
          <w:sz w:val="20"/>
        </w:rPr>
        <w:t>About PROCEPT BioRobotics Corporation</w:t>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 xml:space="preserve">PROCEPT BioRobotics’ mission is to revolutionize BPH treatment globally in partnership with urologists by delivering best-in-class robotic solutions that positively impact patients and drive value. PROCEPT BioRobotics manufactures the AQUABEAM® and HYDROS Robotic Systems. The HYDROS™ Robotic System is the only AI-Powered, robotic technology that delivers Aquablation therapy. PROCEPT BioRobotics designed Aquablation therapy to deliver effective, safe, and durable outcomes for males suffering from lower urinary tract symptoms or LUTS, due to BPH that are independent of prostate size and shape or surgeon experience. BPH is the most common prostate disease and impacts approximately 40 million men in the United States. The Company has developed a significant and growing body of clinical evidence with over 150 peer-reviewed publications, supporting the benefits and clinical advantages of Aquablation therapy. </w:t>
      </w:r>
    </w:p>
    <w:p>
      <w:pPr>
        <w:pStyle w:val="TextBody"/>
        <w:bidi w:val="0"/>
        <w:spacing w:before="0" w:after="0"/>
        <w:jc w:val="left"/>
        <w:rPr/>
      </w:pPr>
      <w:r>
        <w:rPr/>
      </w:r>
    </w:p>
    <w:p>
      <w:pPr>
        <w:pStyle w:val="TextBody"/>
        <w:bidi w:val="0"/>
        <w:spacing w:lineRule="auto" w:line="276" w:before="0" w:after="0"/>
        <w:jc w:val="left"/>
        <w:rPr/>
      </w:pPr>
      <w:r>
        <w:rPr>
          <w:rFonts w:ascii="sans-serif" w:hAnsi="sans-serif"/>
          <w:b/>
          <w:color w:val="000000"/>
          <w:sz w:val="20"/>
        </w:rPr>
        <w:t>Use of Non-GAAP Financial Measures</w:t>
      </w:r>
      <w:r>
        <w:rPr>
          <w:color w:val="000000"/>
        </w:rPr>
        <w:t xml:space="preserve"> </w:t>
      </w:r>
      <w:r>
        <w:rPr>
          <w:rFonts w:ascii="sans-serif" w:hAnsi="sans-serif"/>
          <w:b w:val="false"/>
          <w:i/>
          <w:color w:val="000000"/>
          <w:sz w:val="20"/>
        </w:rPr>
        <w:t>(Unaudited)</w:t>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This press release references Adjusted EBITDA, a financial measure that is not prepared in accordance with generally accepted accounting principles in the United States (GAAP). The Company defines Adjusted EBITDA as earnings before interest expense, taxes, depreciation and amortization and stock-based compensation. Non-GAAP financial measures are not a substitute for or superior to measures of financial performance prepared in accordance with GAAP and should not be considered as an alternative to any other performance measures derived in accordance with GAAP.</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The Company believes that presenting Adjusted EBITDA provides useful supplemental information to investors about the Company in understanding and evaluating its operating results, enhancing the overall understanding of its past performance and future prospects, and allowing for greater transparency with respect to key financial metrics used by its management in financial and operational decision making.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the Company uses may not be directly comparable to similarly titled measures of other companies.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0"/>
        </w:rPr>
      </w:pPr>
      <w:r>
        <w:rPr>
          <w:rFonts w:ascii="sans-serif" w:hAnsi="sans-serif"/>
          <w:b/>
          <w:color w:val="000000"/>
          <w:sz w:val="20"/>
        </w:rPr>
        <w:t>Forward Looking Statements</w:t>
      </w:r>
    </w:p>
    <w:p>
      <w:pPr>
        <w:pStyle w:val="TextBody"/>
        <w:bidi w:val="0"/>
        <w:spacing w:lineRule="auto" w:line="300"/>
        <w:jc w:val="left"/>
        <w:rPr/>
      </w:pPr>
      <w:r>
        <w:rPr>
          <w:rFonts w:ascii="sans-serif" w:hAnsi="sans-serif"/>
          <w:b w:val="false"/>
          <w:color w:val="000000"/>
          <w:sz w:val="20"/>
        </w:rPr>
        <w:t>This release contains forward‐looking statements within the meaning of federal securities laws, including with respect to the Company’s projected financial performance for full year 2025,</w:t>
      </w:r>
      <w:r>
        <w:rPr>
          <w:color w:val="000000"/>
        </w:rPr>
        <w:t xml:space="preserve"> </w:t>
      </w:r>
      <w:r>
        <w:rPr>
          <w:rFonts w:ascii="sans-serif" w:hAnsi="sans-serif"/>
          <w:b w:val="false"/>
          <w:color w:val="000000"/>
          <w:sz w:val="20"/>
        </w:rPr>
        <w:t>statements regarding the potential utilities, values, benefits and advantages of Aquablation therapy performed using PROCEPT BioRobotics’ products, including AquaBeam or Hydros Robotic Systems, which involve risks and uncertainties that could cause the actual results to differ materially from the anticipated results and expectations expressed in these forward-looking statements. You are cautioned not to place undue reliance on these forward-looking statements. Forward-looking statements are only predictions based on the Company’s current expectations, estimates, and assumptions, valid only as of the date they are made, and subject to risks and uncertainties, some of which the Company is not currently aware.</w:t>
      </w:r>
      <w:r>
        <w:rPr>
          <w:color w:val="000000"/>
        </w:rPr>
        <w:t xml:space="preserve"> </w:t>
      </w:r>
      <w:r>
        <w:rPr>
          <w:rFonts w:ascii="sans-serif" w:hAnsi="sans-serif"/>
          <w:b w:val="false"/>
          <w:color w:val="000000"/>
          <w:sz w:val="20"/>
        </w:rPr>
        <w:t xml:space="preserve">Forward-looking statements may include statements regarding financial guidance, market opportunity and penetration, clinical trial outcomes, the Company’s possible or assumed future results of operations, including descriptions of the Company’s revenues, gross margins, profitability, operating expenses, installed base growth, commercial momentum and overall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business strategy. Forward‐looking statements should not be read as a guarantee of future performance or results and may not necessarily be accurate indications of the times at, or by, which such performance or results will be achieved. These forward‐looking statements are based on the Company’s current expectations and inherently involve significant risks and uncertainties. Actual results and the timing of events could differ materially from those anticipated in such forward‐looking statements as a result of these risks and uncertainties. These risks and uncertainties are described more fully in the section titled “Risk Factors” in the Company’s filings with the Securities and Exchange Commission (the “SEC”), including the Company’s annual report on Form 10-K filed with the SEC on February 27, 2025, and amended on April 11, 2025, and subsequent quarterly reports on Form 10-Q. PROCEPT BioRobotics does not undertake any obligation to update forward‐looking statements and expressly disclaims any obligation or undertaking to release publicly any updates or revisions to any forward‐looking statements contained herein. These forward-looking statements should not be relied upon as representing PROCEPT BioRobotics’ views as of any date subsequent to the date of this press release.</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Important Safety Information</w:t>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 xml:space="preserve">All surgical treatments have inherent and associated side effects. For a list of potential side effects visit https://aquablation.com/safety-information/ </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Investor Contact:</w:t>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Matt Bacso</w:t>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VP, Investor Relations and Business Operations</w:t>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m.bacso@procept-biorobotics.com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CONDENSED CONSOLIDATED STATEMENTS OF OPERATIONS</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461"/>
        <w:gridCol w:w="1002"/>
        <w:gridCol w:w="997"/>
        <w:gridCol w:w="109"/>
        <w:gridCol w:w="109"/>
        <w:gridCol w:w="109"/>
        <w:gridCol w:w="252"/>
        <w:gridCol w:w="996"/>
        <w:gridCol w:w="121"/>
        <w:gridCol w:w="121"/>
        <w:gridCol w:w="121"/>
        <w:gridCol w:w="121"/>
        <w:gridCol w:w="252"/>
        <w:gridCol w:w="996"/>
        <w:gridCol w:w="121"/>
        <w:gridCol w:w="109"/>
        <w:gridCol w:w="109"/>
        <w:gridCol w:w="109"/>
        <w:gridCol w:w="234"/>
        <w:gridCol w:w="981"/>
        <w:gridCol w:w="112"/>
        <w:gridCol w:w="112"/>
        <w:gridCol w:w="112"/>
        <w:gridCol w:w="112"/>
        <w:gridCol w:w="234"/>
        <w:gridCol w:w="923"/>
        <w:gridCol w:w="170"/>
      </w:tblGrid>
      <w:tr>
        <w:trPr/>
        <w:tc>
          <w:tcPr>
            <w:tcW w:w="146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Six Months Ended June 30,</w:t>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2024</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Revenue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79,182 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53,353 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148,344 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97,892 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27,436 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21,871 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52,437 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41,376 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51,746 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31,482 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95,907 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56,516 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17,632 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17,501 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34,034 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30,585 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56,303 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40,809 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111,499 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80,408 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73,935 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58,310 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145,533 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110,993 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(22,189)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(26,828)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(49,626)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(54,477)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(1,030)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(1,773)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(2,075)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3,506 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2,232 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7,083 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4,969 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(19,578)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(25,626)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(44,316)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(51,583)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(0.35)</w:t>
            </w:r>
          </w:p>
        </w:tc>
        <w:tc>
          <w:tcPr>
            <w:tcW w:w="121"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(0.50)</w:t>
            </w:r>
          </w:p>
        </w:tc>
        <w:tc>
          <w:tcPr>
            <w:tcW w:w="121"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3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(0.80)</w:t>
            </w:r>
          </w:p>
        </w:tc>
        <w:tc>
          <w:tcPr>
            <w:tcW w:w="11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23"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(1.01)</w:t>
            </w:r>
          </w:p>
        </w:tc>
        <w:tc>
          <w:tcPr>
            <w:tcW w:w="170"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Weighted-average common shares used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Compute net loss per share attributable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Common shareholders,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55,445 </w:t>
            </w:r>
          </w:p>
        </w:tc>
        <w:tc>
          <w:tcPr>
            <w:tcW w:w="121"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51,622 </w:t>
            </w:r>
          </w:p>
        </w:tc>
        <w:tc>
          <w:tcPr>
            <w:tcW w:w="121"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55,182 </w:t>
            </w:r>
          </w:p>
        </w:tc>
        <w:tc>
          <w:tcPr>
            <w:tcW w:w="112"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51,316 </w:t>
            </w:r>
          </w:p>
        </w:tc>
        <w:tc>
          <w:tcPr>
            <w:tcW w:w="170"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RECONCILIATION OF GAAP NET LOSS TO ADJUSTED EBITDA</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77"/>
        <w:gridCol w:w="1082"/>
        <w:gridCol w:w="1097"/>
        <w:gridCol w:w="109"/>
        <w:gridCol w:w="109"/>
        <w:gridCol w:w="109"/>
        <w:gridCol w:w="254"/>
        <w:gridCol w:w="1007"/>
        <w:gridCol w:w="122"/>
        <w:gridCol w:w="122"/>
        <w:gridCol w:w="122"/>
        <w:gridCol w:w="122"/>
        <w:gridCol w:w="254"/>
        <w:gridCol w:w="1007"/>
        <w:gridCol w:w="122"/>
        <w:gridCol w:w="109"/>
        <w:gridCol w:w="109"/>
        <w:gridCol w:w="109"/>
        <w:gridCol w:w="236"/>
        <w:gridCol w:w="936"/>
        <w:gridCol w:w="113"/>
        <w:gridCol w:w="113"/>
        <w:gridCol w:w="113"/>
        <w:gridCol w:w="113"/>
        <w:gridCol w:w="236"/>
        <w:gridCol w:w="936"/>
        <w:gridCol w:w="167"/>
      </w:tblGrid>
      <w:tr>
        <w:trPr/>
        <w:tc>
          <w:tcPr>
            <w:tcW w:w="127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Six Months Ended June 30,</w:t>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2024</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(19,578)</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(25,626)</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(44,316)</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(51,583)</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1,588 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1,269 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3,063 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2,453 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12,163 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7,986 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22,271 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14,242 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Interest (income) and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(2,167)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(1,559)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(4,821)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(3,398)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(7,994)</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(17,930)</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(23,803)</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(38,286)</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RECONCILIATION OF GAAP NET LOSS TO ADJUSTED 2025 EBITDA Guidance</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center"/>
        <w:rPr/>
      </w:pPr>
      <w:r>
        <w:rPr/>
      </w:r>
    </w:p>
    <w:tbl>
      <w:tblPr>
        <w:tblW w:w="6627" w:type="dxa"/>
        <w:jc w:val="center"/>
        <w:tblInd w:w="0" w:type="dxa"/>
        <w:tblLayout w:type="fixed"/>
        <w:tblCellMar>
          <w:top w:w="28" w:type="dxa"/>
          <w:left w:w="28" w:type="dxa"/>
          <w:bottom w:w="28" w:type="dxa"/>
          <w:right w:w="28" w:type="dxa"/>
        </w:tblCellMar>
      </w:tblPr>
      <w:tblGrid>
        <w:gridCol w:w="1573"/>
        <w:gridCol w:w="1379"/>
        <w:gridCol w:w="1398"/>
        <w:gridCol w:w="109"/>
        <w:gridCol w:w="109"/>
        <w:gridCol w:w="109"/>
        <w:gridCol w:w="109"/>
        <w:gridCol w:w="109"/>
        <w:gridCol w:w="109"/>
        <w:gridCol w:w="226"/>
        <w:gridCol w:w="916"/>
        <w:gridCol w:w="109"/>
        <w:gridCol w:w="109"/>
        <w:gridCol w:w="109"/>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(83,500)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Interest (income) and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(35,000)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r>
    </w:tbl>
    <w:p>
      <w:pPr>
        <w:pStyle w:val="TextBody"/>
        <w:bidi w:val="0"/>
        <w:spacing w:before="0" w:after="16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 xml:space="preserve">CONDENSED CONSOLIDATED BALANCE SHEETS </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center"/>
        <w:rPr/>
      </w:pPr>
      <w:r>
        <w:rPr/>
      </w:r>
    </w:p>
    <w:tbl>
      <w:tblPr>
        <w:tblW w:w="8856" w:type="dxa"/>
        <w:jc w:val="center"/>
        <w:tblInd w:w="0" w:type="dxa"/>
        <w:tblLayout w:type="fixed"/>
        <w:tblCellMar>
          <w:top w:w="28" w:type="dxa"/>
          <w:left w:w="28" w:type="dxa"/>
          <w:bottom w:w="28" w:type="dxa"/>
          <w:right w:w="28" w:type="dxa"/>
        </w:tblCellMar>
      </w:tblPr>
      <w:tblGrid>
        <w:gridCol w:w="1549"/>
        <w:gridCol w:w="1357"/>
        <w:gridCol w:w="1368"/>
        <w:gridCol w:w="109"/>
        <w:gridCol w:w="109"/>
        <w:gridCol w:w="109"/>
        <w:gridCol w:w="285"/>
        <w:gridCol w:w="1197"/>
        <w:gridCol w:w="137"/>
        <w:gridCol w:w="109"/>
        <w:gridCol w:w="109"/>
        <w:gridCol w:w="109"/>
        <w:gridCol w:w="393"/>
        <w:gridCol w:w="1648"/>
        <w:gridCol w:w="268"/>
      </w:tblGrid>
      <w:tr>
        <w:trPr/>
        <w:tc>
          <w:tcPr>
            <w:tcW w:w="15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December 31, 2024</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302,717 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333,725 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80,817 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83,496 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67,032 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56,168 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7,501 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8,453 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458,067 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481,842 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Restricted cash,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3,038 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3,038 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28,602 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26,709 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18,260 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18,941 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795 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932 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4,292 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2,555 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513,054 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534,017 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0"/>
              <w:ind w:left="0" w:right="0" w:hanging="187"/>
              <w:jc w:val="left"/>
              <w:rPr>
                <w:rFonts w:ascii="sans-serif" w:hAnsi="sans-serif"/>
                <w:b/>
                <w:color w:val="000000"/>
                <w:sz w:val="20"/>
              </w:rPr>
            </w:pPr>
            <w:r>
              <w:rPr>
                <w:rFonts w:ascii="sans-serif" w:hAnsi="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11,783 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10,032 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16,302 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21,537 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9,889 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9,565 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Operating leases,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2,059 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1,910 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Loan facility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9,694 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8,089 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49,727 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53,133 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51,524 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51,472 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Operating leases,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25,784 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26,868 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324 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127,258 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131,797 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976,240 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948,091 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Accumulated other comprehensive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(144)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114 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(590,300)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(545,985)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385,796 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402,220 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197"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513,054 </w:t>
            </w:r>
          </w:p>
        </w:tc>
        <w:tc>
          <w:tcPr>
            <w:tcW w:w="137"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534,017 </w:t>
            </w:r>
          </w:p>
        </w:tc>
        <w:tc>
          <w:tcPr>
            <w:tcW w:w="268"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REVENUE BY TYPE AND GEOGRAPHY</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34"/>
        <w:gridCol w:w="1011"/>
        <w:gridCol w:w="1030"/>
        <w:gridCol w:w="109"/>
        <w:gridCol w:w="109"/>
        <w:gridCol w:w="109"/>
        <w:gridCol w:w="276"/>
        <w:gridCol w:w="1010"/>
        <w:gridCol w:w="132"/>
        <w:gridCol w:w="132"/>
        <w:gridCol w:w="132"/>
        <w:gridCol w:w="132"/>
        <w:gridCol w:w="276"/>
        <w:gridCol w:w="1010"/>
        <w:gridCol w:w="132"/>
        <w:gridCol w:w="109"/>
        <w:gridCol w:w="109"/>
        <w:gridCol w:w="109"/>
        <w:gridCol w:w="243"/>
        <w:gridCol w:w="1021"/>
        <w:gridCol w:w="117"/>
        <w:gridCol w:w="117"/>
        <w:gridCol w:w="117"/>
        <w:gridCol w:w="117"/>
        <w:gridCol w:w="243"/>
        <w:gridCol w:w="890"/>
        <w:gridCol w:w="179"/>
      </w:tblGrid>
      <w:tr>
        <w:trPr/>
        <w:tc>
          <w:tcPr>
            <w:tcW w:w="123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Six Months Ended June 30,</w:t>
            </w:r>
          </w:p>
        </w:tc>
      </w:tr>
      <w:tr>
        <w:trPr/>
        <w:tc>
          <w:tcPr>
            <w:tcW w:w="3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2025</w:t>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2025</w:t>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0"/>
              </w:rPr>
            </w:pPr>
            <w:r>
              <w:rPr>
                <w:rFonts w:ascii="sans-serif" w:hAnsi="sans-serif"/>
                <w:b/>
                <w:color w:val="000000"/>
                <w:sz w:val="20"/>
              </w:rPr>
              <w:t>2024</w:t>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System sales and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22,082 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17,819 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40,769 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32,055 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Handpieces and other 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43,130 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27,260 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81,141 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50,878 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4,373 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2,589 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7,968 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4,936 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U.S.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69,585 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47,668 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129,878 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87,869 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Outside of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System sales and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2,945 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3,078 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6,798 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4,818 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Handpieces and other 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6,002 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2,271 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10,479 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4,614 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650 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336 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1,189 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outside of 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9,597 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5,685 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18,466 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10,023 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79,182 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53,353 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148,344 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0"/>
              </w:rPr>
            </w:pPr>
            <w:r>
              <w:rPr>
                <w:rFonts w:ascii="sans-serif" w:hAnsi="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20"/>
              </w:rPr>
            </w:pPr>
            <w:r>
              <w:rPr>
                <w:rFonts w:ascii="sans-serif" w:hAnsi="sans-serif"/>
                <w:b w:val="false"/>
                <w:color w:val="000000"/>
                <w:sz w:val="20"/>
              </w:rPr>
              <w:t>97,892 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2570</Words>
  <Characters>14980</Characters>
  <CharactersWithSpaces>17327</CharactersWithSpaces>
  <Paragraphs>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