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407670</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432435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Washington, D.C. 20549</w:t>
      </w:r>
    </w:p>
    <w:p>
      <w:pPr>
        <w:spacing w:after="0" w:line="12"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___________________________________</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3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___________________________________</w:t>
      </w:r>
    </w:p>
    <w:p>
      <w:pPr>
        <w:spacing w:after="0" w:line="9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53" w:lineRule="exact"/>
        <w:rPr>
          <w:sz w:val="24"/>
          <w:szCs w:val="24"/>
          <w:color w:val="auto"/>
        </w:rPr>
      </w:pPr>
    </w:p>
    <w:p>
      <w:pPr>
        <w:ind w:left="4000" w:right="2380" w:hanging="3979"/>
        <w:spacing w:after="0" w:line="397" w:lineRule="auto"/>
        <w:tabs>
          <w:tab w:leader="none" w:pos="483"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2022</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243" w:lineRule="exact"/>
        <w:rPr>
          <w:sz w:val="24"/>
          <w:szCs w:val="24"/>
          <w:color w:val="auto"/>
        </w:rPr>
      </w:pPr>
    </w:p>
    <w:p>
      <w:pPr>
        <w:ind w:left="3700" w:right="2020" w:hanging="3679"/>
        <w:spacing w:after="0" w:line="397" w:lineRule="auto"/>
        <w:tabs>
          <w:tab w:leader="none" w:pos="494"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 to ________</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Commission file number 001-04321</w:t>
      </w:r>
    </w:p>
    <w:p>
      <w:pPr>
        <w:spacing w:after="0" w:line="23"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___________________________________</w:t>
      </w:r>
    </w:p>
    <w:p>
      <w:pPr>
        <w:spacing w:after="0" w:line="88"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PROCEPT BIOROBOTICS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(Exact name of registrant as specified in its charter)</w:t>
      </w:r>
    </w:p>
    <w:p>
      <w:pPr>
        <w:ind w:left="4420"/>
        <w:spacing w:after="0"/>
        <w:rPr>
          <w:sz w:val="20"/>
          <w:szCs w:val="20"/>
          <w:color w:val="auto"/>
        </w:rPr>
      </w:pPr>
      <w:r>
        <w:rPr>
          <w:rFonts w:ascii="Arial" w:cs="Arial" w:eastAsia="Arial" w:hAnsi="Arial"/>
          <w:sz w:val="14"/>
          <w:szCs w:val="14"/>
          <w:b w:val="1"/>
          <w:bCs w:val="1"/>
          <w:color w:val="auto"/>
        </w:rPr>
        <w:t>___________________________________</w:t>
      </w: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340" w:type="dxa"/>
            <w:vAlign w:val="bottom"/>
          </w:tcPr>
          <w:p>
            <w:pPr>
              <w:jc w:val="center"/>
              <w:ind w:right="154"/>
              <w:spacing w:after="0"/>
              <w:rPr>
                <w:sz w:val="20"/>
                <w:szCs w:val="20"/>
                <w:color w:val="auto"/>
              </w:rPr>
            </w:pPr>
            <w:r>
              <w:rPr>
                <w:rFonts w:ascii="Arial" w:cs="Arial" w:eastAsia="Arial" w:hAnsi="Arial"/>
                <w:sz w:val="17"/>
                <w:szCs w:val="17"/>
                <w:b w:val="1"/>
                <w:bCs w:val="1"/>
                <w:color w:val="auto"/>
                <w:w w:val="93"/>
              </w:rPr>
              <w:t>Delaware</w:t>
            </w:r>
          </w:p>
        </w:tc>
        <w:tc>
          <w:tcPr>
            <w:tcW w:w="2880" w:type="dxa"/>
            <w:vAlign w:val="bottom"/>
          </w:tcPr>
          <w:p>
            <w:pPr>
              <w:jc w:val="center"/>
              <w:ind w:right="294"/>
              <w:spacing w:after="0"/>
              <w:rPr>
                <w:sz w:val="20"/>
                <w:szCs w:val="20"/>
                <w:color w:val="auto"/>
              </w:rPr>
            </w:pPr>
            <w:r>
              <w:rPr>
                <w:rFonts w:ascii="Arial" w:cs="Arial" w:eastAsia="Arial" w:hAnsi="Arial"/>
                <w:sz w:val="17"/>
                <w:szCs w:val="17"/>
                <w:b w:val="1"/>
                <w:bCs w:val="1"/>
                <w:color w:val="auto"/>
                <w:w w:val="89"/>
              </w:rPr>
              <w:t>3841</w:t>
            </w:r>
          </w:p>
        </w:tc>
        <w:tc>
          <w:tcPr>
            <w:tcW w:w="3120" w:type="dxa"/>
            <w:vAlign w:val="bottom"/>
          </w:tcPr>
          <w:p>
            <w:pPr>
              <w:jc w:val="right"/>
              <w:ind w:right="734"/>
              <w:spacing w:after="0"/>
              <w:rPr>
                <w:sz w:val="20"/>
                <w:szCs w:val="20"/>
                <w:color w:val="auto"/>
              </w:rPr>
            </w:pPr>
            <w:r>
              <w:rPr>
                <w:rFonts w:ascii="Arial" w:cs="Arial" w:eastAsia="Arial" w:hAnsi="Arial"/>
                <w:sz w:val="17"/>
                <w:szCs w:val="17"/>
                <w:b w:val="1"/>
                <w:bCs w:val="1"/>
                <w:color w:val="auto"/>
              </w:rPr>
              <w:t>26-0199180</w:t>
            </w:r>
          </w:p>
        </w:tc>
        <w:tc>
          <w:tcPr>
            <w:tcW w:w="0" w:type="dxa"/>
            <w:vAlign w:val="bottom"/>
          </w:tcPr>
          <w:p>
            <w:pPr>
              <w:spacing w:after="0"/>
              <w:rPr>
                <w:sz w:val="1"/>
                <w:szCs w:val="1"/>
                <w:color w:val="auto"/>
              </w:rPr>
            </w:pPr>
          </w:p>
        </w:tc>
      </w:tr>
      <w:tr>
        <w:trPr>
          <w:trHeight w:val="221"/>
        </w:trPr>
        <w:tc>
          <w:tcPr>
            <w:tcW w:w="4340" w:type="dxa"/>
            <w:vAlign w:val="bottom"/>
          </w:tcPr>
          <w:p>
            <w:pPr>
              <w:jc w:val="center"/>
              <w:ind w:right="15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880" w:type="dxa"/>
            <w:vAlign w:val="bottom"/>
          </w:tcPr>
          <w:p>
            <w:pPr>
              <w:jc w:val="center"/>
              <w:ind w:right="274"/>
              <w:spacing w:after="0"/>
              <w:rPr>
                <w:sz w:val="20"/>
                <w:szCs w:val="20"/>
                <w:color w:val="auto"/>
              </w:rPr>
            </w:pPr>
            <w:r>
              <w:rPr>
                <w:rFonts w:ascii="Arial" w:cs="Arial" w:eastAsia="Arial" w:hAnsi="Arial"/>
                <w:sz w:val="17"/>
                <w:szCs w:val="17"/>
                <w:color w:val="auto"/>
                <w:w w:val="92"/>
              </w:rPr>
              <w:t>(Primary Standard Industrial</w:t>
            </w:r>
          </w:p>
        </w:tc>
        <w:tc>
          <w:tcPr>
            <w:tcW w:w="3120" w:type="dxa"/>
            <w:vAlign w:val="bottom"/>
          </w:tcPr>
          <w:p>
            <w:pPr>
              <w:jc w:val="center"/>
              <w:ind w:left="534"/>
              <w:spacing w:after="0"/>
              <w:rPr>
                <w:sz w:val="20"/>
                <w:szCs w:val="20"/>
                <w:color w:val="auto"/>
              </w:rPr>
            </w:pPr>
            <w:r>
              <w:rPr>
                <w:rFonts w:ascii="Arial" w:cs="Arial" w:eastAsia="Arial" w:hAnsi="Arial"/>
                <w:sz w:val="17"/>
                <w:szCs w:val="17"/>
                <w:color w:val="auto"/>
                <w:w w:val="95"/>
              </w:rPr>
              <w:t>(I.R.S. Employer Identification No.)</w:t>
            </w:r>
          </w:p>
        </w:tc>
        <w:tc>
          <w:tcPr>
            <w:tcW w:w="0" w:type="dxa"/>
            <w:vAlign w:val="bottom"/>
          </w:tcPr>
          <w:p>
            <w:pPr>
              <w:spacing w:after="0"/>
              <w:rPr>
                <w:sz w:val="1"/>
                <w:szCs w:val="1"/>
                <w:color w:val="auto"/>
              </w:rPr>
            </w:pPr>
          </w:p>
        </w:tc>
      </w:tr>
      <w:tr>
        <w:trPr>
          <w:trHeight w:val="217"/>
        </w:trPr>
        <w:tc>
          <w:tcPr>
            <w:tcW w:w="4340" w:type="dxa"/>
            <w:vAlign w:val="bottom"/>
          </w:tcPr>
          <w:p>
            <w:pPr>
              <w:spacing w:after="0"/>
              <w:rPr>
                <w:sz w:val="18"/>
                <w:szCs w:val="18"/>
                <w:color w:val="auto"/>
              </w:rPr>
            </w:pPr>
          </w:p>
        </w:tc>
        <w:tc>
          <w:tcPr>
            <w:tcW w:w="2880" w:type="dxa"/>
            <w:vAlign w:val="bottom"/>
          </w:tcPr>
          <w:p>
            <w:pPr>
              <w:jc w:val="center"/>
              <w:ind w:right="294"/>
              <w:spacing w:after="0"/>
              <w:rPr>
                <w:sz w:val="20"/>
                <w:szCs w:val="20"/>
                <w:color w:val="auto"/>
              </w:rPr>
            </w:pPr>
            <w:r>
              <w:rPr>
                <w:rFonts w:ascii="Arial" w:cs="Arial" w:eastAsia="Arial" w:hAnsi="Arial"/>
                <w:sz w:val="17"/>
                <w:szCs w:val="17"/>
                <w:color w:val="auto"/>
                <w:w w:val="93"/>
              </w:rPr>
              <w:t>Classification Code Number)</w:t>
            </w: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340" w:type="dxa"/>
            <w:vAlign w:val="bottom"/>
          </w:tcPr>
          <w:p>
            <w:pPr>
              <w:jc w:val="center"/>
              <w:ind w:right="154"/>
              <w:spacing w:after="0"/>
              <w:rPr>
                <w:sz w:val="20"/>
                <w:szCs w:val="20"/>
                <w:color w:val="auto"/>
              </w:rPr>
            </w:pPr>
            <w:r>
              <w:rPr>
                <w:rFonts w:ascii="Arial" w:cs="Arial" w:eastAsia="Arial" w:hAnsi="Arial"/>
                <w:sz w:val="17"/>
                <w:szCs w:val="17"/>
                <w:b w:val="1"/>
                <w:bCs w:val="1"/>
                <w:color w:val="auto"/>
                <w:w w:val="94"/>
              </w:rPr>
              <w:t>900 Island Drive</w:t>
            </w:r>
          </w:p>
        </w:tc>
        <w:tc>
          <w:tcPr>
            <w:tcW w:w="28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jc w:val="center"/>
              <w:ind w:right="174"/>
              <w:spacing w:after="0"/>
              <w:rPr>
                <w:sz w:val="20"/>
                <w:szCs w:val="20"/>
                <w:color w:val="auto"/>
              </w:rPr>
            </w:pPr>
            <w:r>
              <w:rPr>
                <w:rFonts w:ascii="Arial" w:cs="Arial" w:eastAsia="Arial" w:hAnsi="Arial"/>
                <w:sz w:val="17"/>
                <w:szCs w:val="17"/>
                <w:b w:val="1"/>
                <w:bCs w:val="1"/>
                <w:color w:val="auto"/>
                <w:w w:val="92"/>
              </w:rPr>
              <w:t>Redwood City, CA</w:t>
            </w:r>
          </w:p>
        </w:tc>
        <w:tc>
          <w:tcPr>
            <w:tcW w:w="2880" w:type="dxa"/>
            <w:vAlign w:val="bottom"/>
          </w:tcPr>
          <w:p>
            <w:pPr>
              <w:spacing w:after="0"/>
              <w:rPr>
                <w:sz w:val="20"/>
                <w:szCs w:val="20"/>
                <w:color w:val="auto"/>
              </w:rPr>
            </w:pPr>
          </w:p>
        </w:tc>
        <w:tc>
          <w:tcPr>
            <w:tcW w:w="3120" w:type="dxa"/>
            <w:vAlign w:val="bottom"/>
          </w:tcPr>
          <w:p>
            <w:pPr>
              <w:jc w:val="right"/>
              <w:ind w:right="934"/>
              <w:spacing w:after="0"/>
              <w:rPr>
                <w:sz w:val="20"/>
                <w:szCs w:val="20"/>
                <w:color w:val="auto"/>
              </w:rPr>
            </w:pPr>
            <w:r>
              <w:rPr>
                <w:rFonts w:ascii="Arial" w:cs="Arial" w:eastAsia="Arial" w:hAnsi="Arial"/>
                <w:sz w:val="17"/>
                <w:szCs w:val="17"/>
                <w:b w:val="1"/>
                <w:bCs w:val="1"/>
                <w:color w:val="auto"/>
              </w:rPr>
              <w:t>94065</w:t>
            </w:r>
          </w:p>
        </w:tc>
        <w:tc>
          <w:tcPr>
            <w:tcW w:w="0" w:type="dxa"/>
            <w:vAlign w:val="bottom"/>
          </w:tcPr>
          <w:p>
            <w:pPr>
              <w:spacing w:after="0"/>
              <w:rPr>
                <w:sz w:val="1"/>
                <w:szCs w:val="1"/>
                <w:color w:val="auto"/>
              </w:rPr>
            </w:pPr>
          </w:p>
        </w:tc>
      </w:tr>
      <w:tr>
        <w:trPr>
          <w:trHeight w:val="219"/>
        </w:trPr>
        <w:tc>
          <w:tcPr>
            <w:tcW w:w="4340" w:type="dxa"/>
            <w:vAlign w:val="bottom"/>
          </w:tcPr>
          <w:p>
            <w:pPr>
              <w:jc w:val="center"/>
              <w:ind w:right="174"/>
              <w:spacing w:after="0"/>
              <w:rPr>
                <w:sz w:val="20"/>
                <w:szCs w:val="20"/>
                <w:color w:val="auto"/>
              </w:rPr>
            </w:pPr>
            <w:r>
              <w:rPr>
                <w:rFonts w:ascii="Arial" w:cs="Arial" w:eastAsia="Arial" w:hAnsi="Arial"/>
                <w:sz w:val="17"/>
                <w:szCs w:val="17"/>
                <w:color w:val="auto"/>
                <w:w w:val="93"/>
              </w:rPr>
              <w:t>(Address of Principal Executive Offices)</w:t>
            </w:r>
          </w:p>
        </w:tc>
        <w:tc>
          <w:tcPr>
            <w:tcW w:w="2880" w:type="dxa"/>
            <w:vAlign w:val="bottom"/>
          </w:tcPr>
          <w:p>
            <w:pPr>
              <w:spacing w:after="0"/>
              <w:rPr>
                <w:sz w:val="19"/>
                <w:szCs w:val="19"/>
                <w:color w:val="auto"/>
              </w:rPr>
            </w:pPr>
          </w:p>
        </w:tc>
        <w:tc>
          <w:tcPr>
            <w:tcW w:w="3120" w:type="dxa"/>
            <w:vAlign w:val="bottom"/>
            <w:vMerge w:val="restart"/>
          </w:tcPr>
          <w:p>
            <w:pPr>
              <w:jc w:val="center"/>
              <w:ind w:left="594"/>
              <w:spacing w:after="0"/>
              <w:rPr>
                <w:sz w:val="20"/>
                <w:szCs w:val="20"/>
                <w:color w:val="auto"/>
              </w:rPr>
            </w:pPr>
            <w:r>
              <w:rPr>
                <w:rFonts w:ascii="Arial" w:cs="Arial" w:eastAsia="Arial" w:hAnsi="Arial"/>
                <w:sz w:val="17"/>
                <w:szCs w:val="17"/>
                <w:color w:val="auto"/>
                <w:w w:val="94"/>
              </w:rPr>
              <w:t>(Zip Code)</w:t>
            </w:r>
          </w:p>
        </w:tc>
        <w:tc>
          <w:tcPr>
            <w:tcW w:w="0" w:type="dxa"/>
            <w:vAlign w:val="bottom"/>
          </w:tcPr>
          <w:p>
            <w:pPr>
              <w:spacing w:after="0"/>
              <w:rPr>
                <w:sz w:val="1"/>
                <w:szCs w:val="1"/>
                <w:color w:val="auto"/>
              </w:rPr>
            </w:pPr>
          </w:p>
        </w:tc>
      </w:tr>
      <w:tr>
        <w:trPr>
          <w:trHeight w:val="77"/>
        </w:trPr>
        <w:tc>
          <w:tcPr>
            <w:tcW w:w="43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(650) 232-7200</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Registrant's telephone number, including area code</w:t>
      </w: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31"/>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12"/>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Common stock, $0.00001 par value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PRCT</w:t>
            </w:r>
          </w:p>
        </w:tc>
        <w:tc>
          <w:tcPr>
            <w:tcW w:w="4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Nasdaq Global Market</w:t>
            </w:r>
          </w:p>
        </w:tc>
      </w:tr>
    </w:tbl>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 Yes x No o</w:t>
      </w:r>
    </w:p>
    <w:p>
      <w:pPr>
        <w:spacing w:after="0" w:line="21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Section 15(d) of the Act. Yes o No x</w:t>
      </w:r>
    </w:p>
    <w:p>
      <w:pPr>
        <w:spacing w:after="0" w:line="217" w:lineRule="exact"/>
        <w:rPr>
          <w:sz w:val="24"/>
          <w:szCs w:val="24"/>
          <w:color w:val="auto"/>
        </w:rPr>
      </w:pPr>
    </w:p>
    <w:p>
      <w:pPr>
        <w:ind w:right="20"/>
        <w:spacing w:after="0" w:line="266"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5" w:lineRule="exact"/>
        <w:rPr>
          <w:sz w:val="24"/>
          <w:szCs w:val="24"/>
          <w:color w:val="auto"/>
        </w:rPr>
      </w:pPr>
    </w:p>
    <w:p>
      <w:pPr>
        <w:ind w:right="80"/>
        <w:spacing w:after="0" w:line="34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17" w:lineRule="exact"/>
        <w:rPr>
          <w:sz w:val="24"/>
          <w:szCs w:val="24"/>
          <w:color w:val="auto"/>
        </w:rPr>
      </w:pPr>
    </w:p>
    <w:p>
      <w:pPr>
        <w:ind w:right="20"/>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03"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30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vMerge w:val="restart"/>
          </w:tcPr>
          <w:p>
            <w:pPr>
              <w:ind w:left="1500"/>
              <w:spacing w:after="0"/>
              <w:rPr>
                <w:sz w:val="20"/>
                <w:szCs w:val="20"/>
                <w:color w:val="auto"/>
              </w:rPr>
            </w:pPr>
            <w:r>
              <w:rPr>
                <w:rFonts w:ascii="Arial" w:cs="Arial" w:eastAsia="Arial" w:hAnsi="Arial"/>
                <w:sz w:val="17"/>
                <w:szCs w:val="17"/>
                <w:color w:val="auto"/>
              </w:rPr>
              <w:t>x</w:t>
            </w:r>
          </w:p>
        </w:tc>
        <w:tc>
          <w:tcPr>
            <w:tcW w:w="3720" w:type="dxa"/>
            <w:vAlign w:val="bottom"/>
            <w:vMerge w:val="restart"/>
          </w:tcPr>
          <w:p>
            <w:pPr>
              <w:ind w:left="520"/>
              <w:spacing w:after="0"/>
              <w:rPr>
                <w:sz w:val="20"/>
                <w:szCs w:val="20"/>
                <w:color w:val="auto"/>
              </w:rPr>
            </w:pPr>
            <w:r>
              <w:rPr>
                <w:rFonts w:ascii="Arial" w:cs="Arial" w:eastAsia="Arial" w:hAnsi="Arial"/>
                <w:sz w:val="17"/>
                <w:szCs w:val="17"/>
                <w:color w:val="auto"/>
              </w:rPr>
              <w:t>Accelerated filer</w:t>
            </w:r>
          </w:p>
        </w:tc>
        <w:tc>
          <w:tcPr>
            <w:tcW w:w="1380" w:type="dxa"/>
            <w:vAlign w:val="bottom"/>
            <w:vMerge w:val="restart"/>
          </w:tcPr>
          <w:p>
            <w:pPr>
              <w:ind w:left="1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37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302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vMerge w:val="restart"/>
          </w:tcPr>
          <w:p>
            <w:pPr>
              <w:ind w:left="1500"/>
              <w:spacing w:after="0"/>
              <w:rPr>
                <w:sz w:val="20"/>
                <w:szCs w:val="20"/>
                <w:color w:val="auto"/>
              </w:rPr>
            </w:pPr>
            <w:r>
              <w:rPr>
                <w:rFonts w:ascii="Arial" w:cs="Arial" w:eastAsia="Arial" w:hAnsi="Arial"/>
                <w:sz w:val="17"/>
                <w:szCs w:val="17"/>
                <w:color w:val="auto"/>
              </w:rPr>
              <w:t>o</w:t>
            </w:r>
          </w:p>
        </w:tc>
        <w:tc>
          <w:tcPr>
            <w:tcW w:w="3720" w:type="dxa"/>
            <w:vAlign w:val="bottom"/>
            <w:vMerge w:val="restart"/>
          </w:tcPr>
          <w:p>
            <w:pPr>
              <w:ind w:left="520"/>
              <w:spacing w:after="0"/>
              <w:rPr>
                <w:sz w:val="20"/>
                <w:szCs w:val="20"/>
                <w:color w:val="auto"/>
              </w:rPr>
            </w:pPr>
            <w:r>
              <w:rPr>
                <w:rFonts w:ascii="Arial" w:cs="Arial" w:eastAsia="Arial" w:hAnsi="Arial"/>
                <w:sz w:val="17"/>
                <w:szCs w:val="17"/>
                <w:color w:val="auto"/>
              </w:rPr>
              <w:t>Smaller reporting company</w:t>
            </w:r>
          </w:p>
        </w:tc>
        <w:tc>
          <w:tcPr>
            <w:tcW w:w="1380" w:type="dxa"/>
            <w:vAlign w:val="bottom"/>
            <w:vMerge w:val="restart"/>
          </w:tcPr>
          <w:p>
            <w:pPr>
              <w:ind w:left="1300"/>
              <w:spacing w:after="0"/>
              <w:rPr>
                <w:sz w:val="20"/>
                <w:szCs w:val="20"/>
                <w:color w:val="auto"/>
              </w:rPr>
            </w:pPr>
            <w:r>
              <w:rPr>
                <w:rFonts w:ascii="Arial" w:cs="Arial" w:eastAsia="Arial" w:hAnsi="Arial"/>
                <w:sz w:val="17"/>
                <w:szCs w:val="17"/>
                <w:color w:val="auto"/>
                <w:w w:val="70"/>
              </w:rPr>
              <w:t>x</w:t>
            </w:r>
          </w:p>
        </w:tc>
        <w:tc>
          <w:tcPr>
            <w:tcW w:w="0" w:type="dxa"/>
            <w:vAlign w:val="bottom"/>
          </w:tcPr>
          <w:p>
            <w:pPr>
              <w:spacing w:after="0"/>
              <w:rPr>
                <w:sz w:val="1"/>
                <w:szCs w:val="1"/>
                <w:color w:val="auto"/>
              </w:rPr>
            </w:pPr>
          </w:p>
        </w:tc>
      </w:tr>
      <w:tr>
        <w:trPr>
          <w:trHeight w:val="77"/>
        </w:trPr>
        <w:tc>
          <w:tcPr>
            <w:tcW w:w="302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372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48"/>
        </w:trPr>
        <w:tc>
          <w:tcPr>
            <w:tcW w:w="3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20" w:type="dxa"/>
            <w:vAlign w:val="bottom"/>
          </w:tcPr>
          <w:p>
            <w:pPr>
              <w:ind w:left="520"/>
              <w:spacing w:after="0"/>
              <w:rPr>
                <w:sz w:val="20"/>
                <w:szCs w:val="20"/>
                <w:color w:val="auto"/>
              </w:rPr>
            </w:pPr>
            <w:r>
              <w:rPr>
                <w:rFonts w:ascii="Arial" w:cs="Arial" w:eastAsia="Arial" w:hAnsi="Arial"/>
                <w:sz w:val="17"/>
                <w:szCs w:val="17"/>
                <w:color w:val="auto"/>
              </w:rPr>
              <w:t>Emerging growth company</w:t>
            </w:r>
          </w:p>
        </w:tc>
        <w:tc>
          <w:tcPr>
            <w:tcW w:w="1380" w:type="dxa"/>
            <w:vAlign w:val="bottom"/>
          </w:tcPr>
          <w:p>
            <w:pPr>
              <w:ind w:left="1300"/>
              <w:spacing w:after="0"/>
              <w:rPr>
                <w:sz w:val="20"/>
                <w:szCs w:val="20"/>
                <w:color w:val="auto"/>
              </w:rPr>
            </w:pPr>
            <w:r>
              <w:rPr>
                <w:rFonts w:ascii="Arial" w:cs="Arial" w:eastAsia="Arial" w:hAnsi="Arial"/>
                <w:sz w:val="15"/>
                <w:szCs w:val="15"/>
                <w:color w:val="auto"/>
                <w:w w:val="71"/>
              </w:rPr>
              <w:t>o</w:t>
            </w:r>
          </w:p>
        </w:tc>
        <w:tc>
          <w:tcPr>
            <w:tcW w:w="0" w:type="dxa"/>
            <w:vAlign w:val="bottom"/>
          </w:tcPr>
          <w:p>
            <w:pPr>
              <w:spacing w:after="0"/>
              <w:rPr>
                <w:sz w:val="1"/>
                <w:szCs w:val="1"/>
                <w:color w:val="auto"/>
              </w:rPr>
            </w:pPr>
          </w:p>
        </w:tc>
      </w:tr>
    </w:tbl>
    <w:p>
      <w:pPr>
        <w:spacing w:after="0" w:line="337" w:lineRule="exact"/>
        <w:rPr>
          <w:sz w:val="24"/>
          <w:szCs w:val="24"/>
          <w:color w:val="auto"/>
        </w:rPr>
      </w:pPr>
    </w:p>
    <w:p>
      <w:pPr>
        <w:ind w:right="500"/>
        <w:spacing w:after="0" w:line="279"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64" w:lineRule="exact"/>
        <w:rPr>
          <w:sz w:val="24"/>
          <w:szCs w:val="24"/>
          <w:color w:val="auto"/>
        </w:rPr>
      </w:pPr>
    </w:p>
    <w:p>
      <w:pPr>
        <w:ind w:right="200"/>
        <w:spacing w:after="0" w:line="313"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auto"/>
        </w:rPr>
        <w:t>report. x</w:t>
      </w:r>
    </w:p>
    <w:p>
      <w:pPr>
        <w:sectPr>
          <w:pgSz w:w="11900" w:h="16838" w:orient="portrait"/>
          <w:cols w:equalWidth="0" w:num="1">
            <w:col w:w="11260"/>
          </w:cols>
          <w:pgMar w:left="320" w:top="282" w:right="319" w:bottom="145" w:gutter="0" w:footer="0" w:header="0"/>
        </w:sectPr>
      </w:pPr>
    </w:p>
    <w:bookmarkStart w:id="1" w:name="page2"/>
    <w:bookmarkEnd w:id="1"/>
    <w:p>
      <w:pPr>
        <w:ind w:right="380"/>
        <w:spacing w:after="0" w:line="222" w:lineRule="exact"/>
        <w:rPr>
          <w:sz w:val="20"/>
          <w:szCs w:val="20"/>
          <w:color w:val="auto"/>
        </w:rPr>
      </w:pPr>
      <w:r>
        <w:rPr>
          <w:rFonts w:ascii="Arial" w:cs="Arial" w:eastAsia="Arial" w:hAnsi="Arial"/>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124" w:lineRule="exact"/>
        <w:rPr>
          <w:sz w:val="20"/>
          <w:szCs w:val="20"/>
          <w:color w:val="auto"/>
        </w:rPr>
      </w:pPr>
    </w:p>
    <w:p>
      <w:pPr>
        <w:ind w:right="100"/>
        <w:spacing w:after="0" w:line="222" w:lineRule="exact"/>
        <w:rPr>
          <w:sz w:val="20"/>
          <w:szCs w:val="20"/>
          <w:color w:val="auto"/>
        </w:rPr>
      </w:pPr>
      <w:r>
        <w:rPr>
          <w:rFonts w:ascii="Arial" w:cs="Arial" w:eastAsia="Arial" w:hAnsi="Arial"/>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 Yes o No x</w:t>
      </w:r>
    </w:p>
    <w:p>
      <w:pPr>
        <w:spacing w:after="0" w:line="2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As of June 30, 2022, the aggregate market value of shares held by non-affiliates of the Registrant (based upon the closing sale prices of such shares on the Nasdaq Global Select Market on June 30, 2022) was approximately $1.0 billion. Shares of common stock held by each executive officer, director, and their affiliated holders have been excluded in that such persons may be deemed to be affiliates. The determination of affiliate status for this purpose is not necessarily a conclusive determination for any other purpose.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The registrant had outstanding 44,865,826 shares of common stock as of February 23, 2023.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DOCUMENTS INCORPORATED BY REFERENCE</w:t>
      </w:r>
    </w:p>
    <w:p>
      <w:pPr>
        <w:spacing w:after="0" w:line="2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Portions of the registrant’s definitive Proxy Statement for its 2023 Annual Stockholders’ Meeting, to be filed within 120 days of the registrant’s fiscal year ended December 31, 2022,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779145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144780</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169545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00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1240" w:type="dxa"/>
            <w:vAlign w:val="bottom"/>
          </w:tcPr>
          <w:p>
            <w:pPr>
              <w:spacing w:after="0"/>
              <w:rPr>
                <w:sz w:val="16"/>
                <w:szCs w:val="16"/>
                <w:color w:val="auto"/>
              </w:rPr>
            </w:pPr>
          </w:p>
        </w:tc>
      </w:tr>
      <w:tr>
        <w:trPr>
          <w:trHeight w:val="945"/>
        </w:trPr>
        <w:tc>
          <w:tcPr>
            <w:tcW w:w="1220" w:type="dxa"/>
            <w:vAlign w:val="bottom"/>
            <w:tcBorders>
              <w:top w:val="single" w:sz="8" w:color="0000FF"/>
            </w:tcBorders>
          </w:tcPr>
          <w:p>
            <w:pPr>
              <w:spacing w:after="0"/>
              <w:rPr>
                <w:sz w:val="24"/>
                <w:szCs w:val="24"/>
                <w:color w:val="auto"/>
              </w:rPr>
            </w:pPr>
          </w:p>
        </w:tc>
        <w:tc>
          <w:tcPr>
            <w:tcW w:w="8780" w:type="dxa"/>
            <w:vAlign w:val="bottom"/>
          </w:tcPr>
          <w:p>
            <w:pPr>
              <w:ind w:left="3760"/>
              <w:spacing w:after="0"/>
              <w:rPr>
                <w:sz w:val="20"/>
                <w:szCs w:val="20"/>
                <w:color w:val="auto"/>
              </w:rPr>
            </w:pPr>
            <w:r>
              <w:rPr>
                <w:rFonts w:ascii="Arial" w:cs="Arial" w:eastAsia="Arial" w:hAnsi="Arial"/>
                <w:sz w:val="17"/>
                <w:szCs w:val="17"/>
                <w:b w:val="1"/>
                <w:bCs w:val="1"/>
                <w:color w:val="auto"/>
              </w:rPr>
              <w:t>Table of Contents</w:t>
            </w:r>
          </w:p>
        </w:tc>
        <w:tc>
          <w:tcPr>
            <w:tcW w:w="1240" w:type="dxa"/>
            <w:vAlign w:val="bottom"/>
          </w:tcPr>
          <w:p>
            <w:pPr>
              <w:spacing w:after="0"/>
              <w:rPr>
                <w:sz w:val="24"/>
                <w:szCs w:val="24"/>
                <w:color w:val="auto"/>
              </w:rPr>
            </w:pPr>
          </w:p>
        </w:tc>
      </w:tr>
      <w:tr>
        <w:trPr>
          <w:trHeight w:val="400"/>
        </w:trPr>
        <w:tc>
          <w:tcPr>
            <w:tcW w:w="12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5"/>
              </w:rPr>
              <w:t>Page</w:t>
            </w:r>
          </w:p>
        </w:tc>
      </w:tr>
      <w:tr>
        <w:trPr>
          <w:trHeight w:val="199"/>
        </w:trPr>
        <w:tc>
          <w:tcPr>
            <w:tcW w:w="10000" w:type="dxa"/>
            <w:vAlign w:val="bottom"/>
            <w:gridSpan w:val="2"/>
          </w:tcPr>
          <w:p>
            <w:pPr>
              <w:ind w:left="20"/>
              <w:spacing w:after="0"/>
              <w:rPr>
                <w:sz w:val="20"/>
                <w:szCs w:val="20"/>
                <w:color w:val="auto"/>
              </w:rPr>
            </w:pPr>
            <w:r>
              <w:rPr>
                <w:rFonts w:ascii="Arial" w:cs="Arial" w:eastAsia="Arial" w:hAnsi="Arial"/>
                <w:sz w:val="17"/>
                <w:szCs w:val="17"/>
                <w:color w:val="auto"/>
              </w:rPr>
              <w:t>Part I</w:t>
            </w:r>
          </w:p>
        </w:tc>
        <w:tc>
          <w:tcPr>
            <w:tcW w:w="1240" w:type="dxa"/>
            <w:vAlign w:val="bottom"/>
          </w:tcPr>
          <w:p>
            <w:pPr>
              <w:spacing w:after="0"/>
              <w:rPr>
                <w:sz w:val="17"/>
                <w:szCs w:val="17"/>
                <w:color w:val="auto"/>
              </w:rPr>
            </w:pP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 Business</w:t>
            </w:r>
          </w:p>
        </w:tc>
        <w:tc>
          <w:tcPr>
            <w:tcW w:w="124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1A. Risk Factors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31</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1B. Unresolved Staff Comments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80</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2. Properties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80</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3. Legal Matters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80</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4. Mine Safety Disclosures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80</w:t>
            </w:r>
          </w:p>
        </w:tc>
      </w:tr>
      <w:tr>
        <w:trPr>
          <w:trHeight w:val="219"/>
        </w:trPr>
        <w:tc>
          <w:tcPr>
            <w:tcW w:w="10000" w:type="dxa"/>
            <w:vAlign w:val="bottom"/>
            <w:gridSpan w:val="2"/>
          </w:tcPr>
          <w:p>
            <w:pPr>
              <w:ind w:left="20"/>
              <w:spacing w:after="0"/>
              <w:rPr>
                <w:sz w:val="20"/>
                <w:szCs w:val="20"/>
                <w:color w:val="auto"/>
              </w:rPr>
            </w:pPr>
            <w:r>
              <w:rPr>
                <w:rFonts w:ascii="Arial" w:cs="Arial" w:eastAsia="Arial" w:hAnsi="Arial"/>
                <w:sz w:val="17"/>
                <w:szCs w:val="17"/>
                <w:color w:val="auto"/>
              </w:rPr>
              <w:t>Part II</w:t>
            </w:r>
          </w:p>
        </w:tc>
        <w:tc>
          <w:tcPr>
            <w:tcW w:w="1240" w:type="dxa"/>
            <w:vAlign w:val="bottom"/>
          </w:tcPr>
          <w:p>
            <w:pPr>
              <w:spacing w:after="0"/>
              <w:rPr>
                <w:sz w:val="19"/>
                <w:szCs w:val="19"/>
                <w:color w:val="auto"/>
              </w:rPr>
            </w:pP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5. Market for Registrant’s Common Equity, Related Stockholder Matters and Issuer Purchases of Equity Securities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81</w:t>
            </w:r>
          </w:p>
        </w:tc>
      </w:tr>
      <w:tr>
        <w:trPr>
          <w:trHeight w:val="245"/>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6. [Reserved]</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82</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7. Management’s Discussion and Analysis of Financial Condition and Results of Operations</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83</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7A. Quantitative and Qualitative Disclosures about Market Risk</w:t>
            </w:r>
          </w:p>
        </w:tc>
        <w:tc>
          <w:tcPr>
            <w:tcW w:w="1240" w:type="dxa"/>
            <w:vAlign w:val="bottom"/>
          </w:tcPr>
          <w:p>
            <w:pPr>
              <w:jc w:val="center"/>
              <w:spacing w:after="0"/>
              <w:rPr>
                <w:sz w:val="20"/>
                <w:szCs w:val="20"/>
                <w:color w:val="auto"/>
              </w:rPr>
            </w:pPr>
            <w:r>
              <w:rPr>
                <w:rFonts w:ascii="Arial" w:cs="Arial" w:eastAsia="Arial" w:hAnsi="Arial"/>
                <w:sz w:val="17"/>
                <w:szCs w:val="17"/>
                <w:color w:val="auto"/>
                <w:w w:val="94"/>
              </w:rPr>
              <w:t>93</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8. Financial Statements and Supplementary Data</w:t>
            </w:r>
          </w:p>
        </w:tc>
        <w:tc>
          <w:tcPr>
            <w:tcW w:w="1240" w:type="dxa"/>
            <w:vAlign w:val="bottom"/>
          </w:tcPr>
          <w:p>
            <w:pPr>
              <w:jc w:val="center"/>
              <w:spacing w:after="0"/>
              <w:rPr>
                <w:sz w:val="20"/>
                <w:szCs w:val="20"/>
                <w:color w:val="auto"/>
              </w:rPr>
            </w:pPr>
            <w:r>
              <w:rPr>
                <w:rFonts w:ascii="Arial" w:cs="Arial" w:eastAsia="Arial" w:hAnsi="Arial"/>
                <w:sz w:val="17"/>
                <w:szCs w:val="17"/>
                <w:color w:val="auto"/>
                <w:w w:val="93"/>
              </w:rPr>
              <w:t>F-1</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9. Changes in and Disagreements with Accountants on Accounting and Financial Disclosure</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108</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9A. Controls and Procedures</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108</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9B. Other Information</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108</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9C. Disclosure Regarding Foreign Jurisdictions that Prevent Inspections</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108</w:t>
            </w:r>
          </w:p>
        </w:tc>
      </w:tr>
      <w:tr>
        <w:trPr>
          <w:trHeight w:val="219"/>
        </w:trPr>
        <w:tc>
          <w:tcPr>
            <w:tcW w:w="10000" w:type="dxa"/>
            <w:vAlign w:val="bottom"/>
            <w:gridSpan w:val="2"/>
          </w:tcPr>
          <w:p>
            <w:pPr>
              <w:ind w:left="20"/>
              <w:spacing w:after="0"/>
              <w:rPr>
                <w:sz w:val="20"/>
                <w:szCs w:val="20"/>
                <w:color w:val="auto"/>
              </w:rPr>
            </w:pPr>
            <w:r>
              <w:rPr>
                <w:rFonts w:ascii="Arial" w:cs="Arial" w:eastAsia="Arial" w:hAnsi="Arial"/>
                <w:sz w:val="17"/>
                <w:szCs w:val="17"/>
                <w:color w:val="auto"/>
              </w:rPr>
              <w:t>Part III</w:t>
            </w:r>
          </w:p>
        </w:tc>
        <w:tc>
          <w:tcPr>
            <w:tcW w:w="1240" w:type="dxa"/>
            <w:vAlign w:val="bottom"/>
          </w:tcPr>
          <w:p>
            <w:pPr>
              <w:spacing w:after="0"/>
              <w:rPr>
                <w:sz w:val="19"/>
                <w:szCs w:val="19"/>
                <w:color w:val="auto"/>
              </w:rPr>
            </w:pP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10. Directors, Executive Officers and Corporate Governance</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109</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11. Executive Compensation</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109</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12. Security Ownership of Certain Beneficial Owners and Management and Related Stockholder Matters</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109</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13. Certain Relationships and Related Transactions, and Director Independence</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109</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14. Principal Accountant Fees and Services</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109</w:t>
            </w:r>
          </w:p>
        </w:tc>
      </w:tr>
      <w:tr>
        <w:trPr>
          <w:trHeight w:val="219"/>
        </w:trPr>
        <w:tc>
          <w:tcPr>
            <w:tcW w:w="10000" w:type="dxa"/>
            <w:vAlign w:val="bottom"/>
            <w:gridSpan w:val="2"/>
          </w:tcPr>
          <w:p>
            <w:pPr>
              <w:ind w:left="20"/>
              <w:spacing w:after="0"/>
              <w:rPr>
                <w:sz w:val="20"/>
                <w:szCs w:val="20"/>
                <w:color w:val="auto"/>
              </w:rPr>
            </w:pPr>
            <w:r>
              <w:rPr>
                <w:rFonts w:ascii="Arial" w:cs="Arial" w:eastAsia="Arial" w:hAnsi="Arial"/>
                <w:sz w:val="17"/>
                <w:szCs w:val="17"/>
                <w:color w:val="auto"/>
              </w:rPr>
              <w:t>Part IV</w:t>
            </w:r>
          </w:p>
        </w:tc>
        <w:tc>
          <w:tcPr>
            <w:tcW w:w="1240" w:type="dxa"/>
            <w:vAlign w:val="bottom"/>
          </w:tcPr>
          <w:p>
            <w:pPr>
              <w:spacing w:after="0"/>
              <w:rPr>
                <w:sz w:val="19"/>
                <w:szCs w:val="19"/>
                <w:color w:val="auto"/>
              </w:rPr>
            </w:pP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15. Exhibits and Financial Statement Schedules</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110</w:t>
            </w:r>
          </w:p>
        </w:tc>
      </w:tr>
      <w:tr>
        <w:trPr>
          <w:trHeight w:val="219"/>
        </w:trPr>
        <w:tc>
          <w:tcPr>
            <w:tcW w:w="10000" w:type="dxa"/>
            <w:vAlign w:val="bottom"/>
            <w:gridSpan w:val="2"/>
          </w:tcPr>
          <w:p>
            <w:pPr>
              <w:ind w:left="940"/>
              <w:spacing w:after="0"/>
              <w:rPr>
                <w:sz w:val="20"/>
                <w:szCs w:val="20"/>
                <w:color w:val="auto"/>
              </w:rPr>
            </w:pPr>
            <w:r>
              <w:rPr>
                <w:rFonts w:ascii="Arial" w:cs="Arial" w:eastAsia="Arial" w:hAnsi="Arial"/>
                <w:sz w:val="17"/>
                <w:szCs w:val="17"/>
                <w:color w:val="auto"/>
              </w:rPr>
              <w:t>Item 16. Form 10-K Summary</w:t>
            </w:r>
          </w:p>
        </w:tc>
        <w:tc>
          <w:tcPr>
            <w:tcW w:w="1240" w:type="dxa"/>
            <w:vAlign w:val="bottom"/>
          </w:tcPr>
          <w:p>
            <w:pPr>
              <w:jc w:val="center"/>
              <w:spacing w:after="0"/>
              <w:rPr>
                <w:sz w:val="20"/>
                <w:szCs w:val="20"/>
                <w:color w:val="auto"/>
              </w:rPr>
            </w:pPr>
            <w:r>
              <w:rPr>
                <w:rFonts w:ascii="Arial" w:cs="Arial" w:eastAsia="Arial" w:hAnsi="Arial"/>
                <w:sz w:val="17"/>
                <w:szCs w:val="17"/>
                <w:color w:val="auto"/>
                <w:w w:val="91"/>
              </w:rPr>
              <w:t>112</w:t>
            </w:r>
          </w:p>
        </w:tc>
      </w:tr>
      <w:tr>
        <w:trPr>
          <w:trHeight w:val="219"/>
        </w:trPr>
        <w:tc>
          <w:tcPr>
            <w:tcW w:w="10000" w:type="dxa"/>
            <w:vAlign w:val="bottom"/>
            <w:gridSpan w:val="2"/>
          </w:tcPr>
          <w:p>
            <w:pPr>
              <w:ind w:left="20"/>
              <w:spacing w:after="0"/>
              <w:rPr>
                <w:sz w:val="20"/>
                <w:szCs w:val="20"/>
                <w:color w:val="auto"/>
              </w:rPr>
            </w:pPr>
            <w:r>
              <w:rPr>
                <w:rFonts w:ascii="Arial" w:cs="Arial" w:eastAsia="Arial" w:hAnsi="Arial"/>
                <w:sz w:val="17"/>
                <w:szCs w:val="17"/>
                <w:color w:val="auto"/>
              </w:rPr>
              <w:t>Signatures</w:t>
            </w:r>
          </w:p>
        </w:tc>
        <w:tc>
          <w:tcPr>
            <w:tcW w:w="1240" w:type="dxa"/>
            <w:vAlign w:val="bottom"/>
          </w:tcPr>
          <w:p>
            <w:pPr>
              <w:spacing w:after="0"/>
              <w:rPr>
                <w:sz w:val="19"/>
                <w:szCs w:val="19"/>
                <w:color w:val="auto"/>
              </w:rPr>
            </w:pPr>
          </w:p>
        </w:tc>
      </w:tr>
    </w:tbl>
    <w:p>
      <w:pPr>
        <w:spacing w:after="0" w:line="23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__________________</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55" w:lineRule="exact"/>
        <w:rPr>
          <w:sz w:val="20"/>
          <w:szCs w:val="20"/>
          <w:color w:val="auto"/>
        </w:rPr>
      </w:pPr>
    </w:p>
    <w:p>
      <w:pPr>
        <w:ind w:right="120" w:firstLine="309"/>
        <w:spacing w:after="0" w:line="273" w:lineRule="auto"/>
        <w:rPr>
          <w:sz w:val="20"/>
          <w:szCs w:val="20"/>
          <w:color w:val="auto"/>
        </w:rPr>
      </w:pPr>
      <w:r>
        <w:rPr>
          <w:rFonts w:ascii="Arial" w:cs="Arial" w:eastAsia="Arial" w:hAnsi="Arial"/>
          <w:sz w:val="16"/>
          <w:szCs w:val="16"/>
          <w:color w:val="auto"/>
        </w:rPr>
        <w:t>This Annual Report on Form 10-K contains forward-looking statements. All statements other than statements of historical facts contained in this Annual Report are forward-looking statements. In some cases, you can identify forward-looking statements by terms such as “may,” "can," “will,” “would,”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business model and strategic plans for our products, technologies and business, including our implementation thereof, the impact on our business, financial condition and results of operations from the ongoing and global COVID-19 pandemic, or any other pandemic, epidemic or outbreak of an infectious disease in the United States or worldwide, the timing of and our ability to obtain and maintain regulatory approvals, our commercialization, marketing and manufacturing capabilities and strategy, our expectations about the commercial success and market acceptance of our products, the sufficiency of our cash and cash equivalents, and the plans and objectives of management for future operations and capital expenditures are forward-looking statements.</w:t>
      </w:r>
    </w:p>
    <w:p>
      <w:pPr>
        <w:spacing w:after="0" w:line="125" w:lineRule="exact"/>
        <w:rPr>
          <w:sz w:val="20"/>
          <w:szCs w:val="20"/>
          <w:color w:val="auto"/>
        </w:rPr>
      </w:pPr>
    </w:p>
    <w:p>
      <w:pPr>
        <w:jc w:val="both"/>
        <w:ind w:right="380" w:firstLine="309"/>
        <w:spacing w:after="0" w:line="318" w:lineRule="auto"/>
        <w:rPr>
          <w:sz w:val="20"/>
          <w:szCs w:val="20"/>
          <w:color w:val="auto"/>
        </w:rPr>
      </w:pPr>
      <w:r>
        <w:rPr>
          <w:rFonts w:ascii="Arial" w:cs="Arial" w:eastAsia="Arial" w:hAnsi="Arial"/>
          <w:sz w:val="15"/>
          <w:szCs w:val="15"/>
          <w:color w:val="auto"/>
        </w:rPr>
        <w:t>The forward-looking statements in this Annual Report are only predictions and are based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speak only as of the date of this Annual Report and are subject to a number of known and</w:t>
      </w:r>
    </w:p>
    <w:p>
      <w:pPr>
        <w:spacing w:after="0" w:line="200" w:lineRule="exact"/>
        <w:rPr>
          <w:sz w:val="20"/>
          <w:szCs w:val="20"/>
          <w:color w:val="auto"/>
        </w:rPr>
      </w:pPr>
    </w:p>
    <w:p>
      <w:pPr>
        <w:spacing w:after="0" w:line="3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unknown risks, uncertainties, and assumptions, including those described under the sections in this Annual Report entitled “Risk Factors” and “Management’s Discussion and Analysis of Financial Condition and Results of Operations” and elsewhere in this Annual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may not occur and actual results could differ materially and adversely from those anticipated or implied in the forward-looking statements.</w:t>
      </w:r>
    </w:p>
    <w:p>
      <w:pPr>
        <w:spacing w:after="0" w:line="118"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you should not rely upon these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of 1933, as amended (the “Securities Act”), and Section 21E of the Securities Exchange Act of 1934, as amended (the “Exchange Act”).</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SUMMARY RISK FACTORS</w:t>
      </w:r>
    </w:p>
    <w:p>
      <w:pPr>
        <w:spacing w:after="0" w:line="171"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the following:</w:t>
      </w:r>
    </w:p>
    <w:p>
      <w:pPr>
        <w:spacing w:after="0" w:line="124" w:lineRule="exact"/>
        <w:rPr>
          <w:sz w:val="20"/>
          <w:szCs w:val="20"/>
          <w:color w:val="auto"/>
        </w:rPr>
      </w:pPr>
    </w:p>
    <w:p>
      <w:pPr>
        <w:ind w:left="620" w:right="16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are an early-stage company with a history of significant net losses, we expect to continue to incur operating losses for the foreseeable future and we may not be able to achieve or sustain profitability.</w:t>
      </w:r>
    </w:p>
    <w:p>
      <w:pPr>
        <w:spacing w:after="0" w:line="112"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revenue is primarily generated from sales of our AquaBeam Robotic System and the accompanying single-use disposable handpieces, and we are therefore highly dependent on the success of those products.</w:t>
      </w:r>
    </w:p>
    <w:p>
      <w:pPr>
        <w:spacing w:after="0" w:line="112" w:lineRule="exact"/>
        <w:rPr>
          <w:rFonts w:ascii="Arial" w:cs="Arial" w:eastAsia="Arial" w:hAnsi="Arial"/>
          <w:sz w:val="17"/>
          <w:szCs w:val="17"/>
          <w:color w:val="auto"/>
        </w:rPr>
      </w:pPr>
    </w:p>
    <w:p>
      <w:pPr>
        <w:ind w:left="620" w:right="140" w:hanging="307"/>
        <w:spacing w:after="0" w:line="349" w:lineRule="auto"/>
        <w:tabs>
          <w:tab w:leader="none" w:pos="61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65" w:lineRule="exact"/>
        <w:rPr>
          <w:rFonts w:ascii="Arial" w:cs="Arial" w:eastAsia="Arial" w:hAnsi="Arial"/>
          <w:sz w:val="15"/>
          <w:szCs w:val="15"/>
          <w:color w:val="auto"/>
        </w:rPr>
      </w:pPr>
    </w:p>
    <w:p>
      <w:pPr>
        <w:ind w:left="620" w:right="340" w:hanging="307"/>
        <w:spacing w:after="0" w:line="266"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23"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need additional funding to finance our planned operations, and may not be able to raise capital when needed, which could force us to delay, reduce or eliminate one or more of our product development programs and future commercialization efforts.</w:t>
      </w:r>
    </w:p>
    <w:p>
      <w:pPr>
        <w:spacing w:after="0" w:line="112" w:lineRule="exact"/>
        <w:rPr>
          <w:rFonts w:ascii="Arial" w:cs="Arial" w:eastAsia="Arial" w:hAnsi="Arial"/>
          <w:sz w:val="17"/>
          <w:szCs w:val="17"/>
          <w:color w:val="auto"/>
        </w:rPr>
      </w:pPr>
    </w:p>
    <w:p>
      <w:pPr>
        <w:ind w:left="620" w:right="16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commercial success of our AquaBeam Robotic System and Aquablation therapy will depend upon the degree of market acceptance of our products among hospitals, surgeons and patients.</w:t>
      </w:r>
    </w:p>
    <w:p>
      <w:pPr>
        <w:spacing w:after="0" w:line="112" w:lineRule="exact"/>
        <w:rPr>
          <w:rFonts w:ascii="Arial" w:cs="Arial" w:eastAsia="Arial" w:hAnsi="Arial"/>
          <w:sz w:val="17"/>
          <w:szCs w:val="17"/>
          <w:color w:val="auto"/>
        </w:rPr>
      </w:pPr>
    </w:p>
    <w:p>
      <w:pPr>
        <w:ind w:left="620" w:right="34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112"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not be able to obtain or maintain adequate levels of third-party coverage and reimbursement, and third parties may rescind or modify their coverage or delay payments related to our products.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from many sources, including larger companies, and we may be unable to compete successfully.</w:t>
      </w:r>
    </w:p>
    <w:p>
      <w:pPr>
        <w:spacing w:after="0" w:line="165" w:lineRule="exact"/>
        <w:rPr>
          <w:rFonts w:ascii="Arial" w:cs="Arial" w:eastAsia="Arial" w:hAnsi="Arial"/>
          <w:sz w:val="17"/>
          <w:szCs w:val="17"/>
          <w:color w:val="auto"/>
        </w:rPr>
      </w:pPr>
    </w:p>
    <w:p>
      <w:pPr>
        <w:ind w:left="620" w:right="36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200" w:lineRule="exact"/>
        <w:rPr>
          <w:sz w:val="20"/>
          <w:szCs w:val="20"/>
          <w:color w:val="auto"/>
        </w:rPr>
      </w:pPr>
    </w:p>
    <w:p>
      <w:pPr>
        <w:spacing w:after="0" w:line="32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6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experience disruption in our business as a result of the relocation of our headquarters and manufacturing facility and general expansion of our operations.</w:t>
      </w:r>
    </w:p>
    <w:p>
      <w:pPr>
        <w:spacing w:after="0" w:line="112"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encounter difficulties in managing our growth, which could disrupt our operations.</w:t>
      </w:r>
    </w:p>
    <w:p>
      <w:pPr>
        <w:spacing w:after="0" w:line="165" w:lineRule="exact"/>
        <w:rPr>
          <w:rFonts w:ascii="Arial" w:cs="Arial" w:eastAsia="Arial" w:hAnsi="Arial"/>
          <w:sz w:val="17"/>
          <w:szCs w:val="17"/>
          <w:color w:val="auto"/>
        </w:rPr>
      </w:pPr>
    </w:p>
    <w:p>
      <w:pPr>
        <w:ind w:left="620" w:right="68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information technology systems, or those used by our contractors or consultants, may fail or suffer security breaches, and such failure could negatively affect our business, financial condition and results of operations.</w:t>
      </w:r>
    </w:p>
    <w:p>
      <w:pPr>
        <w:spacing w:after="0" w:line="112" w:lineRule="exact"/>
        <w:rPr>
          <w:rFonts w:ascii="Arial" w:cs="Arial" w:eastAsia="Arial" w:hAnsi="Arial"/>
          <w:sz w:val="17"/>
          <w:szCs w:val="17"/>
          <w:color w:val="auto"/>
        </w:rPr>
      </w:pPr>
    </w:p>
    <w:p>
      <w:pPr>
        <w:ind w:left="620" w:right="64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to comply with data protection laws and regulations could lead to government enforcement actions (which could include civil or criminal penalties), private litigation, and/or adverse publicity and could negatively affect our operating results and business.</w:t>
      </w:r>
    </w:p>
    <w:p>
      <w:pPr>
        <w:spacing w:after="0" w:line="112" w:lineRule="exact"/>
        <w:rPr>
          <w:rFonts w:ascii="Arial" w:cs="Arial" w:eastAsia="Arial" w:hAnsi="Arial"/>
          <w:sz w:val="17"/>
          <w:szCs w:val="17"/>
          <w:color w:val="auto"/>
        </w:rPr>
      </w:pPr>
    </w:p>
    <w:p>
      <w:pPr>
        <w:ind w:left="620" w:right="2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sizes of the addressable markets for our AquaBeam Robotic System have not been established with precision and our potential market opportunity may be smaller than we estimate and may decline.</w:t>
      </w:r>
    </w:p>
    <w:p>
      <w:pPr>
        <w:spacing w:after="0" w:line="112" w:lineRule="exact"/>
        <w:rPr>
          <w:rFonts w:ascii="Arial" w:cs="Arial" w:eastAsia="Arial" w:hAnsi="Arial"/>
          <w:sz w:val="17"/>
          <w:szCs w:val="17"/>
          <w:color w:val="auto"/>
        </w:rPr>
      </w:pPr>
    </w:p>
    <w:p>
      <w:pPr>
        <w:jc w:val="both"/>
        <w:ind w:left="620" w:right="16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23" w:lineRule="exact"/>
        <w:rPr>
          <w:rFonts w:ascii="Arial" w:cs="Arial" w:eastAsia="Arial" w:hAnsi="Arial"/>
          <w:sz w:val="17"/>
          <w:szCs w:val="17"/>
          <w:color w:val="auto"/>
        </w:rPr>
      </w:pPr>
    </w:p>
    <w:p>
      <w:pPr>
        <w:ind w:left="620" w:right="4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Cost-containment efforts of our customers, purchasing groups and governmental organizations could have a material adverse effect on our sales and profitability.</w:t>
      </w:r>
    </w:p>
    <w:p>
      <w:pPr>
        <w:spacing w:after="0" w:line="112" w:lineRule="exact"/>
        <w:rPr>
          <w:rFonts w:ascii="Arial" w:cs="Arial" w:eastAsia="Arial" w:hAnsi="Arial"/>
          <w:sz w:val="17"/>
          <w:szCs w:val="17"/>
          <w:color w:val="auto"/>
        </w:rPr>
      </w:pPr>
    </w:p>
    <w:p>
      <w:pPr>
        <w:ind w:left="620" w:right="4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highly dependent on our senior management team and key personnel, and our business could be harmed if we are unable to attract and retain personnel necessary for our success.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to the reimbursement rates for BPH treatments and measures to reduce healthcare costs may adversely impact our business.</w:t>
      </w:r>
    </w:p>
    <w:p>
      <w:pPr>
        <w:spacing w:after="0" w:line="165" w:lineRule="exact"/>
        <w:rPr>
          <w:rFonts w:ascii="Arial" w:cs="Arial" w:eastAsia="Arial" w:hAnsi="Arial"/>
          <w:sz w:val="17"/>
          <w:szCs w:val="17"/>
          <w:color w:val="auto"/>
        </w:rPr>
      </w:pPr>
    </w:p>
    <w:p>
      <w:pPr>
        <w:ind w:left="620" w:right="340" w:hanging="307"/>
        <w:spacing w:after="0" w:line="290" w:lineRule="auto"/>
        <w:tabs>
          <w:tab w:leader="none" w:pos="616"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106" w:lineRule="exact"/>
        <w:rPr>
          <w:rFonts w:ascii="Arial" w:cs="Arial" w:eastAsia="Arial" w:hAnsi="Arial"/>
          <w:sz w:val="16"/>
          <w:szCs w:val="16"/>
          <w:color w:val="auto"/>
        </w:rPr>
      </w:pPr>
    </w:p>
    <w:p>
      <w:pPr>
        <w:ind w:left="620" w:right="20" w:hanging="307"/>
        <w:spacing w:after="0" w:line="266"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2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to obtain, maintain and protect our intellectual property and failure to do so may adversely impact our competitive position.</w:t>
      </w:r>
    </w:p>
    <w:p>
      <w:pPr>
        <w:spacing w:after="0" w:line="165"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112" w:lineRule="exact"/>
        <w:rPr>
          <w:rFonts w:ascii="Arial" w:cs="Arial" w:eastAsia="Arial" w:hAnsi="Arial"/>
          <w:sz w:val="17"/>
          <w:szCs w:val="17"/>
          <w:color w:val="auto"/>
        </w:rPr>
      </w:pPr>
    </w:p>
    <w:p>
      <w:pPr>
        <w:ind w:left="620" w:right="4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market price of our common stock may be volatile or may decline steeply or suddenly regardless of our operating performance, which could result in substantial losses for purchasers of our common stock, and we may not be able to meet investor or analyst expectations.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Future securities issuances could result in significant dilution to our stockholders and impair the market price of our common stock.</w:t>
      </w:r>
    </w:p>
    <w:p>
      <w:pPr>
        <w:spacing w:after="0" w:line="165"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We are a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is independent of prostate size and shape, and delivers resection independent of surgeon experience. We have developed a significant and growing body of clinical evidence, which includes nine clinical studies and nearly 150 peer-reviewed publications, supporting the benefits and clinical advantages of Aquablation therapy. As of December 31, 2022, we had an install base of 243 AquaBeam Robotic Systems globally, including 167 in the United States.</w:t>
      </w:r>
    </w:p>
    <w:p>
      <w:pPr>
        <w:spacing w:after="0" w:line="122"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color w:val="auto"/>
        </w:rPr>
        <w:t>BPH refers to the non-malignant enlargement of the prostate gland, a small gland in the male reproductive system. The prostate sits underneath the bladder and surrounds the top part of the urethra, which carries urine from the bladder.</w:t>
      </w:r>
    </w:p>
    <w:p>
      <w:pPr>
        <w:spacing w:after="0" w:line="113"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24"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In the United States it is estimated that approximately 40 million men are impacted by BPH, with aging demographics expected to drive future growth. Of these men, approximately 12 million are being managed by a physician for symptoms related to their disease. Our total addressable patient population in the United States includes approximately 8.2 million patients, comprising 6.7 million receiving drug therapy, 1.1 million who have tried but failed drug therapy and 400,000 undergoing surgical intervention each year. Over the next ten years, it is expected that the number of men over 65 years old in the United States will double and include a corresponding increase in the number of men with enlarged prostates.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18" w:lineRule="exact"/>
        <w:rPr>
          <w:sz w:val="20"/>
          <w:szCs w:val="20"/>
          <w:color w:val="auto"/>
        </w:rPr>
      </w:pPr>
    </w:p>
    <w:p>
      <w:pPr>
        <w:ind w:right="80" w:firstLine="309"/>
        <w:spacing w:after="0" w:line="297" w:lineRule="auto"/>
        <w:rPr>
          <w:sz w:val="20"/>
          <w:szCs w:val="20"/>
          <w:color w:val="auto"/>
        </w:rPr>
      </w:pPr>
      <w:r>
        <w:rPr>
          <w:rFonts w:ascii="Arial" w:cs="Arial" w:eastAsia="Arial" w:hAnsi="Arial"/>
          <w:sz w:val="15"/>
          <w:szCs w:val="15"/>
          <w:color w:val="auto"/>
        </w:rPr>
        <w:t>The main goal of BPH treatment is to alleviate the symptoms associated with the disease and improve the patient’s quality of life. While drug therapy is typically a first line treatment option, limited efficacy and negative side effects contribute to low compliance and high failure rates and drop outs. On the other hand, surgical intervention is proven to provide effective and durable symptom relief compared to drug therapy, but the use of surgery is significantly underpenetrated, largely due to the compromise patients must make between the incidence of irreversible side effects associated with alternative resective surgical interventions, where obstructive tissue is removed at the time of intervention, or the lower rates of efficacy and durability associated with non-resective surgical interventions, where obstructive tissue is not removed, but rather the prostatic urethra is re-shaped. In addition, most alternative surgical interventions are limited by prostate size and shape, with no single procedure capable of effectively addressing the full range of prostate anatomies regardless of surgeon experience level.</w:t>
      </w:r>
    </w:p>
    <w:p>
      <w:pPr>
        <w:spacing w:after="0" w:line="104" w:lineRule="exact"/>
        <w:rPr>
          <w:sz w:val="20"/>
          <w:szCs w:val="20"/>
          <w:color w:val="auto"/>
        </w:rPr>
      </w:pPr>
    </w:p>
    <w:p>
      <w:pPr>
        <w:ind w:right="280" w:firstLine="309"/>
        <w:spacing w:after="0" w:line="266" w:lineRule="auto"/>
        <w:rPr>
          <w:sz w:val="20"/>
          <w:szCs w:val="20"/>
          <w:color w:val="auto"/>
        </w:rPr>
      </w:pPr>
      <w:r>
        <w:rPr>
          <w:rFonts w:ascii="Arial" w:cs="Arial" w:eastAsia="Arial" w:hAnsi="Arial"/>
          <w:sz w:val="17"/>
          <w:szCs w:val="17"/>
          <w:color w:val="auto"/>
        </w:rPr>
        <w:t>We began developing our proprietary AquaBeam Robotic System in 2009 to address many of the shortcomings of alternative surgical interventions by delivering our Aquablation therapy, the first and only image-guided robotic therapy for the treatment of BPH. We believe our Aquablation therapy provides the following unique combination of benefits:</w:t>
      </w:r>
    </w:p>
    <w:p>
      <w:pPr>
        <w:spacing w:after="0" w:line="124" w:lineRule="exact"/>
        <w:rPr>
          <w:sz w:val="20"/>
          <w:szCs w:val="20"/>
          <w:color w:val="auto"/>
        </w:rPr>
      </w:pPr>
    </w:p>
    <w:p>
      <w:pPr>
        <w:ind w:left="620" w:right="240" w:hanging="307"/>
        <w:spacing w:after="0" w:line="283" w:lineRule="auto"/>
        <w:tabs>
          <w:tab w:leader="none" w:pos="616"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 and durable symptom relief. </w:t>
      </w:r>
      <w:r>
        <w:rPr>
          <w:rFonts w:ascii="Arial" w:cs="Arial" w:eastAsia="Arial" w:hAnsi="Arial"/>
          <w:sz w:val="16"/>
          <w:szCs w:val="16"/>
          <w:color w:val="auto"/>
        </w:rPr>
        <w:t>Given obstructive prostate tissue is removed during the procedure, Aquablation therapy has demonstrated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and long-lasting levels of symptom relief similar to those of alternative resective procedures. In our U.S. pivotal trial, Waterjet Ablation Therapy for Endoscopic Resection of prostate tissue, or the WATER study, Aquablation therapy demonstrated superior safety and non-inferior efficacy results compared to transurethral resection of the prostate, or TURP, the historical standard of care for the surgical</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00"/>
        <w:spacing w:after="0" w:line="299" w:lineRule="auto"/>
        <w:rPr>
          <w:sz w:val="20"/>
          <w:szCs w:val="20"/>
          <w:color w:val="auto"/>
        </w:rPr>
      </w:pPr>
      <w:r>
        <w:rPr>
          <w:rFonts w:ascii="Arial" w:cs="Arial" w:eastAsia="Arial" w:hAnsi="Arial"/>
          <w:sz w:val="15"/>
          <w:szCs w:val="15"/>
          <w:color w:val="auto"/>
        </w:rPr>
        <w:t>treatment of BPH. In the WATER and WATER II studies, surgical retreatment rates were only 5.2% at five years and 3.0% at four years, respectively. In the OPEN WATER study, there were no surgical retreatments at one year. The retreatment rates in the WATER and WATER II studies compare favorably to surgical retreatment rates observed for alternative treatments for BPH. One study published in the BJU International Journal reported on 52,748 men undergoing TURP or photoselective vaporation of the prostate or PVP, with an approximated three-year freedom from surgical retreatment of 92% and 89%, respectively. A second study published in the Journal of Urology reported on 43,041 men undergoing TURP, PVP, enucleation, or open simple prostatectomy with an approximated three-year freedom from surgical retreatment of 93%, 89%, 94%, and 96%, respectively.</w:t>
      </w:r>
    </w:p>
    <w:p>
      <w:pPr>
        <w:spacing w:after="0" w:line="103" w:lineRule="exact"/>
        <w:rPr>
          <w:sz w:val="20"/>
          <w:szCs w:val="20"/>
          <w:color w:val="auto"/>
        </w:rPr>
      </w:pPr>
    </w:p>
    <w:p>
      <w:pPr>
        <w:jc w:val="both"/>
        <w:ind w:left="620" w:right="720" w:hanging="307"/>
        <w:spacing w:after="0" w:line="290"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Favorable safety profile. </w:t>
      </w:r>
      <w:r>
        <w:rPr>
          <w:rFonts w:ascii="Arial" w:cs="Arial" w:eastAsia="Arial" w:hAnsi="Arial"/>
          <w:sz w:val="16"/>
          <w:szCs w:val="16"/>
          <w:color w:val="auto"/>
        </w:rPr>
        <w:t>Aquablation therapy has demonstrated low rates of irreversible complications, including urinary incontinence, erectile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dysfunction and ejaculatory dysfunction, compared to published rates observed for other resective surgeries. In our WATER study, patients who underwent Aquablation therapy maintained a higher level of sexual function compared to those who underwent TURP.</w:t>
      </w:r>
    </w:p>
    <w:p>
      <w:pPr>
        <w:spacing w:after="0" w:line="106" w:lineRule="exact"/>
        <w:rPr>
          <w:rFonts w:ascii="Arial" w:cs="Arial" w:eastAsia="Arial" w:hAnsi="Arial"/>
          <w:sz w:val="16"/>
          <w:szCs w:val="16"/>
          <w:color w:val="auto"/>
        </w:rPr>
      </w:pPr>
    </w:p>
    <w:p>
      <w:pPr>
        <w:ind w:left="620" w:right="20" w:hanging="307"/>
        <w:spacing w:after="0" w:line="279" w:lineRule="auto"/>
        <w:tabs>
          <w:tab w:leader="none" w:pos="61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Resection independent of prostate size and shape and surgeon experience. </w:t>
      </w:r>
      <w:r>
        <w:rPr>
          <w:rFonts w:ascii="Arial" w:cs="Arial" w:eastAsia="Arial" w:hAnsi="Arial"/>
          <w:sz w:val="16"/>
          <w:szCs w:val="16"/>
          <w:color w:val="auto"/>
        </w:rPr>
        <w:t>We designed Aquablation therapy to deliver outcomes that are effective, safe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durable for males suffering from LUTS due to BPH across all prostate sizes and shapes. Additionally, in the WATER and WATER II studies, 50% and 83% of men, respectively, had an obstructive median lobe, and the average prostate size in each study was 54 ml and 107 ml, respectively. Compared to other resective procedures, we believe Aquablation therapy is relatively simple to learn, enabled by the intuitive user interface of the conformal planning unit, or CPU, and automated robotic resection, and delivers resection that is independent of surgeon experience.</w:t>
      </w:r>
    </w:p>
    <w:p>
      <w:pPr>
        <w:spacing w:after="0" w:line="116" w:lineRule="exact"/>
        <w:rPr>
          <w:rFonts w:ascii="Arial" w:cs="Arial" w:eastAsia="Arial" w:hAnsi="Arial"/>
          <w:sz w:val="16"/>
          <w:szCs w:val="16"/>
          <w:color w:val="auto"/>
        </w:rPr>
      </w:pPr>
    </w:p>
    <w:p>
      <w:pPr>
        <w:ind w:left="620" w:hanging="307"/>
        <w:spacing w:after="0" w:line="262"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Personalized treatment planning and improved decision-making. </w:t>
      </w:r>
      <w:r>
        <w:rPr>
          <w:rFonts w:ascii="Arial" w:cs="Arial" w:eastAsia="Arial" w:hAnsi="Arial"/>
          <w:sz w:val="17"/>
          <w:szCs w:val="17"/>
          <w:color w:val="auto"/>
        </w:rPr>
        <w:t>Aquablation therapy combines cystoscopic visualization, which uses a camera attached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 hollow tube, along with ultrasound imaging and advanced planning software to provide the surgeon with a multidimensional view of the treatment area and enable personalized treatment planning for the patient’s unique anatomy, improved decision-making and real-time monitoring during the procedure.</w:t>
      </w:r>
    </w:p>
    <w:p>
      <w:pPr>
        <w:spacing w:after="0" w:line="126" w:lineRule="exact"/>
        <w:rPr>
          <w:rFonts w:ascii="Arial" w:cs="Arial" w:eastAsia="Arial" w:hAnsi="Arial"/>
          <w:sz w:val="17"/>
          <w:szCs w:val="17"/>
          <w:color w:val="auto"/>
        </w:rPr>
      </w:pPr>
    </w:p>
    <w:p>
      <w:pPr>
        <w:ind w:left="620" w:hanging="307"/>
        <w:spacing w:after="0" w:line="266"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Targeted and controlled resection with consistent resection times. </w:t>
      </w:r>
      <w:r>
        <w:rPr>
          <w:rFonts w:ascii="Arial" w:cs="Arial" w:eastAsia="Arial" w:hAnsi="Arial"/>
          <w:sz w:val="17"/>
          <w:szCs w:val="17"/>
          <w:color w:val="auto"/>
        </w:rPr>
        <w:t>Aquablation therapy utilizes automated robotic resection to remove prostate tissue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using a precise, heat-free waterjet. These features enable targeted and controlled tissue removal with rapid resection times that are highly consistent across prostate sizes and shapes and surgeon experience.</w:t>
      </w:r>
    </w:p>
    <w:p>
      <w:pPr>
        <w:spacing w:after="0" w:line="188" w:lineRule="exact"/>
        <w:rPr>
          <w:sz w:val="20"/>
          <w:szCs w:val="20"/>
          <w:color w:val="auto"/>
        </w:rPr>
      </w:pPr>
    </w:p>
    <w:p>
      <w:pPr>
        <w:ind w:right="100" w:firstLine="309"/>
        <w:spacing w:after="0" w:line="255" w:lineRule="auto"/>
        <w:rPr>
          <w:sz w:val="20"/>
          <w:szCs w:val="20"/>
          <w:color w:val="auto"/>
        </w:rPr>
      </w:pPr>
      <w:r>
        <w:rPr>
          <w:rFonts w:ascii="Arial" w:cs="Arial" w:eastAsia="Arial" w:hAnsi="Arial"/>
          <w:sz w:val="16"/>
          <w:szCs w:val="16"/>
          <w:color w:val="auto"/>
        </w:rPr>
        <w:t>We have developed a significant and growing body of clinical data that demonstrate the efficacy, safety and durability of Aquablation therapy, with resection that is independent of prostate size and shape and surgeon experience. Our robust body of clinical evidence includes nine clinical studies and nearly 150 peer-reviewed publications. Our WATER study is the only FDA pivotal study randomized against TURP.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We believe that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German Urology Society, and National Institute for Health and Care Excellence.</w:t>
      </w:r>
    </w:p>
    <w:p>
      <w:pPr>
        <w:spacing w:after="0" w:line="136" w:lineRule="exact"/>
        <w:rPr>
          <w:sz w:val="20"/>
          <w:szCs w:val="20"/>
          <w:color w:val="auto"/>
        </w:rPr>
      </w:pPr>
    </w:p>
    <w:p>
      <w:pPr>
        <w:ind w:right="60" w:firstLine="309"/>
        <w:spacing w:after="0" w:line="295" w:lineRule="auto"/>
        <w:rPr>
          <w:sz w:val="20"/>
          <w:szCs w:val="20"/>
          <w:color w:val="auto"/>
        </w:rPr>
      </w:pPr>
      <w:r>
        <w:rPr>
          <w:rFonts w:ascii="Arial" w:cs="Arial" w:eastAsia="Arial" w:hAnsi="Arial"/>
          <w:sz w:val="15"/>
          <w:szCs w:val="15"/>
          <w:color w:val="auto"/>
        </w:rPr>
        <w:t>In the United States, we sell our products to hospitals. These customers in turn bill various third-party payors, such as commercial payors and government agencies, for reimbursement for the procedures using our products. Effective in 2021, all local Medicare Administrative Contractors, or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 We believe that our strong body of clinical evidence and support from key societies, supplemented by the momentum from Medicare coverage, have led to favorable coverage decisions from many large commercial payors. We plan to leverage these recent successes in our active discussions with commercial payors to establish additional positive national and regional coverage policies, although we cannot provide any assurances that we will be successful in doing so. Outside of the United States, we have ongoing efforts in key markets to expand established coverage and improve payment which we believe will expand patient access to Aquablation therapy.</w:t>
      </w:r>
    </w:p>
    <w:p>
      <w:pPr>
        <w:spacing w:after="0" w:line="173" w:lineRule="exact"/>
        <w:rPr>
          <w:sz w:val="20"/>
          <w:szCs w:val="20"/>
          <w:color w:val="auto"/>
        </w:rPr>
      </w:pPr>
    </w:p>
    <w:p>
      <w:pPr>
        <w:ind w:right="100" w:firstLine="309"/>
        <w:spacing w:after="0" w:line="246" w:lineRule="auto"/>
        <w:rPr>
          <w:sz w:val="20"/>
          <w:szCs w:val="20"/>
          <w:color w:val="auto"/>
        </w:rPr>
      </w:pPr>
      <w:r>
        <w:rPr>
          <w:rFonts w:ascii="Arial" w:cs="Arial" w:eastAsia="Arial" w:hAnsi="Arial"/>
          <w:sz w:val="17"/>
          <w:szCs w:val="17"/>
          <w:color w:val="auto"/>
        </w:rPr>
        <w:t>We primarily sell our products through our direct sales organization in the United States, which targets urologists across the United States, who we believe represent the primary physician specialty managing the care of patients with BPH. We are initially targeting 860 high-volume hospitals that perform, on average, more than 200 resective procedures annually and account for approximately 70% of all hospital-based resective procedures. Additionally, there are approximately 1,840</w:t>
      </w:r>
    </w:p>
    <w:p>
      <w:pPr>
        <w:spacing w:after="0" w:line="200" w:lineRule="exact"/>
        <w:rPr>
          <w:sz w:val="20"/>
          <w:szCs w:val="20"/>
          <w:color w:val="auto"/>
        </w:rPr>
      </w:pPr>
    </w:p>
    <w:p>
      <w:pPr>
        <w:spacing w:after="0" w:line="352"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additional U.S. hospitals that perform the remaining 30% of resective BPH procedures we are also targeting.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about the clinical benefits of Aquablation therapy, provide comprehensive training programs and deepen our relationships with key urologists and various medical societies. Outside the United States, we sell our products using both our direct sales organization and, in certain regions, our network of distribution partners.</w:t>
      </w:r>
    </w:p>
    <w:p>
      <w:pPr>
        <w:spacing w:after="0" w:line="141" w:lineRule="exact"/>
        <w:rPr>
          <w:sz w:val="20"/>
          <w:szCs w:val="20"/>
          <w:color w:val="auto"/>
        </w:rPr>
      </w:pPr>
    </w:p>
    <w:p>
      <w:pPr>
        <w:jc w:val="both"/>
        <w:ind w:right="420" w:firstLine="309"/>
        <w:spacing w:after="0" w:line="266" w:lineRule="auto"/>
        <w:rPr>
          <w:sz w:val="20"/>
          <w:szCs w:val="20"/>
          <w:color w:val="auto"/>
        </w:rPr>
      </w:pPr>
      <w:r>
        <w:rPr>
          <w:rFonts w:ascii="Arial" w:cs="Arial" w:eastAsia="Arial" w:hAnsi="Arial"/>
          <w:sz w:val="17"/>
          <w:szCs w:val="17"/>
          <w:color w:val="auto"/>
        </w:rPr>
        <w:t>We generated revenue of $75.0 million and $34.5 million for the years ended December 31, 2022 and 2021, respectively, and incurred a net loss of $87.2 million and $59.9 million for the years ended December 31, 2022 and 2021, respectively. As of December 31, 2022, we had an accumulated deficit of $348.7 million.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Success Factors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the continued growth of our company will be driven by the following success factors:</w:t>
      </w:r>
    </w:p>
    <w:p>
      <w:pPr>
        <w:spacing w:after="0" w:line="165" w:lineRule="exact"/>
        <w:rPr>
          <w:sz w:val="20"/>
          <w:szCs w:val="20"/>
          <w:color w:val="auto"/>
        </w:rPr>
      </w:pPr>
    </w:p>
    <w:p>
      <w:pPr>
        <w:ind w:left="620" w:right="140" w:hanging="307"/>
        <w:spacing w:after="0" w:line="275" w:lineRule="auto"/>
        <w:tabs>
          <w:tab w:leader="none" w:pos="616"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and only image-guided, heat-free robotic therapy for BPH that addresses the compromise between safety and efficacy of alternative surgical interventions. </w:t>
      </w:r>
      <w:r>
        <w:rPr>
          <w:rFonts w:ascii="Arial" w:cs="Arial" w:eastAsia="Arial" w:hAnsi="Arial"/>
          <w:sz w:val="16"/>
          <w:szCs w:val="16"/>
          <w:color w:val="auto"/>
        </w:rPr>
        <w:t>We have developed the AquaBeam Robotic System, an advanced, image-guided, surgical robotic system for use in minimally invasive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BPH surgery. The AquaBeam Robotic System delivers our Aquablation therapy, the first and only image-guided, robotic therapy for the treatment of BPH. Aquablation therapy combines real-time, multidimensional imaging, personalized treatment planning, automated robotics and heat-free waterjet ablation for targeted and rapid removal of prostate tissue. We believe that alternative surgical interventions for BPH have a number of shortcomings which require patients to compromise between safety and efficacy, either providing significant symptom relief but with a heightened risk of irreversible complications or a lower risk of complications but with significantly less symptom relief. We believe Aquablation therapy represents a paradigm shift in the surgical treatment of BPH by addressing this compromise.</w:t>
      </w:r>
    </w:p>
    <w:p>
      <w:pPr>
        <w:spacing w:after="0" w:line="118" w:lineRule="exact"/>
        <w:rPr>
          <w:rFonts w:ascii="Arial" w:cs="Arial" w:eastAsia="Arial" w:hAnsi="Arial"/>
          <w:sz w:val="16"/>
          <w:szCs w:val="16"/>
          <w:color w:val="auto"/>
        </w:rPr>
      </w:pPr>
    </w:p>
    <w:p>
      <w:pPr>
        <w:ind w:left="620" w:right="100" w:hanging="307"/>
        <w:spacing w:after="0" w:line="293" w:lineRule="auto"/>
        <w:tabs>
          <w:tab w:leader="none" w:pos="616"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Large, growing and underpenetrated market opportunity. </w:t>
      </w:r>
      <w:r>
        <w:rPr>
          <w:rFonts w:ascii="Arial" w:cs="Arial" w:eastAsia="Arial" w:hAnsi="Arial"/>
          <w:sz w:val="15"/>
          <w:szCs w:val="15"/>
          <w:color w:val="auto"/>
        </w:rPr>
        <w:t>BPH is the number one reason men visit a urologist and we estimate that approximately 40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men in the United States alone are impacted by BPH, with aging demographics expected to drive future growth. Of these men, approximately 12 million are being managed by a physician for symptoms related to their disease. While drug therapy is typically a first-line treatment option, limited efficacy and negative side effects, including neurologic, ophthalmic and sexual complications, contribute to low compliance and high failure rates, often as high as 30%. On the other hand, surgical intervention is proven to provide effective and durable symptom relief compared to drug therapy, but the use of surgery is significantly underpenetrated, largely due to the compromise and limitations associated with alternative surgical interventions. Our total addressable patient population in the United States includes approximately 8.2 million patients, comprised of 6.7 million who are receiving drug therapy, 1.1 million who have tried but failed drug therapy and 400,000 who are undergoing surgical intervention each year. Based on the average selling price of our single-use handpiece, we estimate that our total U.S. addressable market opportunity is in excess of $20 billion. The global incidence of BPH among men over 50 years old is similar to that of the United States, representing a significant incremental market opportunity outside of the United States.</w:t>
      </w:r>
    </w:p>
    <w:p>
      <w:pPr>
        <w:spacing w:after="0" w:line="111" w:lineRule="exact"/>
        <w:rPr>
          <w:rFonts w:ascii="Arial" w:cs="Arial" w:eastAsia="Arial" w:hAnsi="Arial"/>
          <w:sz w:val="15"/>
          <w:szCs w:val="15"/>
          <w:color w:val="auto"/>
        </w:rPr>
      </w:pPr>
    </w:p>
    <w:p>
      <w:pPr>
        <w:ind w:left="620" w:hanging="307"/>
        <w:spacing w:after="0" w:line="291" w:lineRule="auto"/>
        <w:tabs>
          <w:tab w:leader="none" w:pos="616"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Significant and growing body of clinical evidence and strong support from key opinion leaders, or KOLs, resulting in the inclusion of Aquablation therapy into societal guidelines and rapid expansion of positive reimbursement coverage policies. </w:t>
      </w:r>
      <w:r>
        <w:rPr>
          <w:rFonts w:ascii="Arial" w:cs="Arial" w:eastAsia="Arial" w:hAnsi="Arial"/>
          <w:sz w:val="15"/>
          <w:szCs w:val="15"/>
          <w:color w:val="auto"/>
        </w:rPr>
        <w:t>We have developed a significant and growing body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clinical data that demonstrates the efficacy, safety and durability of Aquablation therapy, consistent across all prostate sizes and shapes with resection that is independent of surgeon experience. Our robust clinical evidence includes nine clinical studies that we sponsored and enrolled between 2013 and 2018, as well as nearly 150 peer-reviewed publications. Our employees participated in protocol design, data management, monitoring, and statistical analysis in all nine clinical studies and results were provided to authors for publication upon request. Our WATER study is the only FDA pivotal study randomized against TURP, which is the historical standard of care for the surgical treatment of BPH. In this study, Aquablation therapy demonstrated superior safety and non-inferior efficacy results compared to TURP across prostate sizes between 30 ml and 80 ml, and superior efficacy results in a subset of patients with prostates larger than 50 ml. We have established strong relationships with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 European Association of Urology, Canadian Urological Association, German Urology Society, and National Institute for Health and Care Excellence; has achieved favorable coverage determinations from MACs; and has been designated by the Centers for Medicare and Medicaid Services, or CMS, as demonstrating substantial clinical improvement over alternative</w:t>
      </w:r>
    </w:p>
    <w:p>
      <w:pPr>
        <w:spacing w:after="0" w:line="200" w:lineRule="exact"/>
        <w:rPr>
          <w:sz w:val="20"/>
          <w:szCs w:val="20"/>
          <w:color w:val="auto"/>
        </w:rPr>
      </w:pPr>
    </w:p>
    <w:p>
      <w:pPr>
        <w:spacing w:after="0" w:line="32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620" w:right="240"/>
        <w:spacing w:after="0" w:line="266" w:lineRule="auto"/>
        <w:rPr>
          <w:sz w:val="20"/>
          <w:szCs w:val="20"/>
          <w:color w:val="auto"/>
        </w:rPr>
      </w:pPr>
      <w:r>
        <w:rPr>
          <w:rFonts w:ascii="Arial" w:cs="Arial" w:eastAsia="Arial" w:hAnsi="Arial"/>
          <w:sz w:val="17"/>
          <w:szCs w:val="17"/>
          <w:color w:val="auto"/>
        </w:rPr>
        <w:t>surgical interventions and granted transitional pass-through payment status, effective January 1, 2020, which has been extended through December 31, 2023. We believe our compelling clinical evidence, strong KOL relationships and engagement with global urological societies will continue to play an important role in growing awareness and increasing adoption of Aquablation therapy.</w:t>
      </w:r>
    </w:p>
    <w:p>
      <w:pPr>
        <w:spacing w:after="0" w:line="124" w:lineRule="exact"/>
        <w:rPr>
          <w:sz w:val="20"/>
          <w:szCs w:val="20"/>
          <w:color w:val="auto"/>
        </w:rPr>
      </w:pPr>
    </w:p>
    <w:p>
      <w:pPr>
        <w:ind w:left="620" w:right="40" w:hanging="307"/>
        <w:spacing w:after="0" w:line="273"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Compelling value proposition and benefits to hospitals, surgeons and patients. </w:t>
      </w:r>
      <w:r>
        <w:rPr>
          <w:rFonts w:ascii="Arial" w:cs="Arial" w:eastAsia="Arial" w:hAnsi="Arial"/>
          <w:sz w:val="16"/>
          <w:szCs w:val="16"/>
          <w:color w:val="auto"/>
        </w:rPr>
        <w:t>We designed our AquaBeam Robotic System to enable consistent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reproducible resections that are independent of surgeon experience and require minimal training. In addition, we believe the differentiated features of Aquablation therapy allow for improved predictability of outcomes and, as such, increase surgeon confidence in recommending surgical intervention to their patients. Given its ability to treat prostate sizes of all shapes and sizes, Aquablation therapy enables hospitals to consolidate the surgical treatment of BPH in a single therapy. We also believe that hospital administrators will be able to leverage the differentiation of Aquablation therapy as a marketing tool to attract skilled surgeons and patients to their hospital system. Furthermore, the AquaBeam Robotic System is highly mobile and compact, requiring no retrofitting of the operating room, and we believe is competitively priced compared to other robotic systems and capital equipment devices, both factors which we believe remove adoption hurdles for hospital customers and allow for a more streamlined hospital sales cycle. For patients, Aquablation therapy offers significant and durable symptom relief with an attractive safety profile. We believe these benefits will continue to support the adoption of Aquablation therapy by hospitals and surgeons.</w:t>
      </w:r>
    </w:p>
    <w:p>
      <w:pPr>
        <w:spacing w:after="0" w:line="124" w:lineRule="exact"/>
        <w:rPr>
          <w:rFonts w:ascii="Arial" w:cs="Arial" w:eastAsia="Arial" w:hAnsi="Arial"/>
          <w:sz w:val="16"/>
          <w:szCs w:val="16"/>
          <w:color w:val="auto"/>
        </w:rPr>
      </w:pPr>
    </w:p>
    <w:p>
      <w:pPr>
        <w:ind w:left="620" w:right="20" w:hanging="307"/>
        <w:spacing w:after="0" w:line="262"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model. </w:t>
      </w:r>
      <w:r>
        <w:rPr>
          <w:rFonts w:ascii="Arial" w:cs="Arial" w:eastAsia="Arial" w:hAnsi="Arial"/>
          <w:sz w:val="17"/>
          <w:szCs w:val="17"/>
          <w:color w:val="auto"/>
        </w:rPr>
        <w:t>We generate revenue primarily from hospitals making capital purchases of our AquaBeam Robotic System and purchasing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single-use handpieces for individual patient use. We also generate revenue by providing post-warranty service for the AquaBeam Robotic System. We believe our business model of selling capital equipment that generates corresponding disposables utilization and post-warranty service contracts provides a path to predictable, recurring revenue.</w:t>
      </w:r>
    </w:p>
    <w:p>
      <w:pPr>
        <w:spacing w:after="0" w:line="126" w:lineRule="exact"/>
        <w:rPr>
          <w:rFonts w:ascii="Arial" w:cs="Arial" w:eastAsia="Arial" w:hAnsi="Arial"/>
          <w:sz w:val="17"/>
          <w:szCs w:val="17"/>
          <w:color w:val="auto"/>
        </w:rPr>
      </w:pPr>
    </w:p>
    <w:p>
      <w:pPr>
        <w:ind w:left="620" w:right="80" w:hanging="307"/>
        <w:spacing w:after="0" w:line="258"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 research and development capabilities and a robust intellectual property portfolio. </w:t>
      </w:r>
      <w:r>
        <w:rPr>
          <w:rFonts w:ascii="Arial" w:cs="Arial" w:eastAsia="Arial" w:hAnsi="Arial"/>
          <w:sz w:val="17"/>
          <w:szCs w:val="17"/>
          <w:color w:val="auto"/>
        </w:rPr>
        <w:t>We have invested in establishing strong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capabilities for over a decade, including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 We have a broad patent portfolio, including 135 issued patents and 88 pending patent applications as of December 31, 2022. We believe our intellectual property and know-how present a significant barrier to entry for our competitors.</w:t>
      </w:r>
    </w:p>
    <w:p>
      <w:pPr>
        <w:spacing w:after="0" w:line="131" w:lineRule="exact"/>
        <w:rPr>
          <w:rFonts w:ascii="Arial" w:cs="Arial" w:eastAsia="Arial" w:hAnsi="Arial"/>
          <w:sz w:val="17"/>
          <w:szCs w:val="17"/>
          <w:color w:val="auto"/>
        </w:rPr>
      </w:pPr>
    </w:p>
    <w:p>
      <w:pPr>
        <w:ind w:left="620" w:right="240" w:hanging="307"/>
        <w:spacing w:after="0" w:line="262"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leadership team and board members with deep industry experience. </w:t>
      </w:r>
      <w:r>
        <w:rPr>
          <w:rFonts w:ascii="Arial" w:cs="Arial" w:eastAsia="Arial" w:hAnsi="Arial"/>
          <w:sz w:val="17"/>
          <w:szCs w:val="17"/>
          <w:color w:val="auto"/>
        </w:rPr>
        <w:t>We are led by a highly experienced management team and board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successful track record of building businesses by identifying and providing solutions for underserved markets in the medical device industry. Our team has successfully led and managed dynamic growth phases in organizations and commercialized products in markets with established incumbents by addressing the unmet needs of the physicians and patients they serve.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Growth Strategies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establish Aquablation therapy as the surgical standard of care for BPH. The key elements of our growth strategy are:</w:t>
      </w:r>
    </w:p>
    <w:p>
      <w:pPr>
        <w:spacing w:after="0" w:line="230" w:lineRule="exact"/>
        <w:rPr>
          <w:sz w:val="20"/>
          <w:szCs w:val="20"/>
          <w:color w:val="auto"/>
        </w:rPr>
      </w:pPr>
    </w:p>
    <w:p>
      <w:pPr>
        <w:ind w:left="620" w:hanging="307"/>
        <w:spacing w:after="0" w:line="274" w:lineRule="auto"/>
        <w:tabs>
          <w:tab w:leader="none" w:pos="616" w:val="left"/>
        </w:tabs>
        <w:numPr>
          <w:ilvl w:val="0"/>
          <w:numId w:val="9"/>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Grow our installed base of AquaBeam Robotic Systems by driving adoption of Aquablation therapy among urologists. </w:t>
      </w:r>
      <w:r>
        <w:rPr>
          <w:rFonts w:ascii="Arial" w:cs="Arial" w:eastAsia="Arial" w:hAnsi="Arial"/>
          <w:sz w:val="15"/>
          <w:szCs w:val="15"/>
          <w:color w:val="auto"/>
        </w:rPr>
        <w:t>In the United States, we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initially focused on driving adoption of Aquablation therapy among urologists that perform hospital-based resective BPH surgery. We estimate that approximately 290,000 of the 400,000 annual BPH surgeries are resective procedures performed across approximately 2,700 hospitals. We are initially targeting 860 high-volume hospitals that we estimate perform, on average, more than 200 resective procedures annually and account for approximately 70% of all hospital-based resective procedures. . Additionally, there are approximately 1,840 U.S. hospitals that perform the remaining 30% of resective BPH procedures we are also targeting. To penetrate these hospitals, we will continue to increase our direct team of capital sales representatives, who are focused on driving system placement within hospitals by engaging with key surgeons and decision makers to educate them about the compelling value proposition of Aquablation therapy. We also intend to increase awareness of Aquablation therapy by continuing to publish clinical data in various industry and scientific journals, present our clinical data at various industry conferences and sponsor peer-to-peer education programs and proctorships.</w:t>
      </w:r>
    </w:p>
    <w:p>
      <w:pPr>
        <w:spacing w:after="0" w:line="122" w:lineRule="exact"/>
        <w:rPr>
          <w:rFonts w:ascii="Arial" w:cs="Arial" w:eastAsia="Arial" w:hAnsi="Arial"/>
          <w:sz w:val="15"/>
          <w:szCs w:val="15"/>
          <w:b w:val="1"/>
          <w:bCs w:val="1"/>
          <w:i w:val="1"/>
          <w:iCs w:val="1"/>
          <w:color w:val="auto"/>
        </w:rPr>
      </w:pPr>
    </w:p>
    <w:p>
      <w:pPr>
        <w:ind w:left="620" w:right="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Increase system utilization by establishing Aquablation therapy as the surgical treatment of choice for BPH. </w:t>
      </w:r>
      <w:r>
        <w:rPr>
          <w:rFonts w:ascii="Arial" w:cs="Arial" w:eastAsia="Arial" w:hAnsi="Arial"/>
          <w:sz w:val="17"/>
          <w:szCs w:val="17"/>
          <w:color w:val="auto"/>
        </w:rPr>
        <w:t>Once we place a system within a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objective is to establish Aquablation therapy as the surgical treatment of choice for BPH. Within each hospital, we are initially focused on targeting urologists who perform</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100"/>
        <w:spacing w:after="0" w:line="274" w:lineRule="auto"/>
        <w:rPr>
          <w:sz w:val="20"/>
          <w:szCs w:val="20"/>
          <w:color w:val="auto"/>
        </w:rPr>
      </w:pPr>
      <w:r>
        <w:rPr>
          <w:rFonts w:ascii="Arial" w:cs="Arial" w:eastAsia="Arial" w:hAnsi="Arial"/>
          <w:sz w:val="16"/>
          <w:szCs w:val="16"/>
          <w:color w:val="auto"/>
        </w:rPr>
        <w:t>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will leverage their experiences to capture more surgical volumes and establish Aquablation therapy as the surgical standard of care. Over time, we intend to leverage our relationships with urologists to drive utilization of Aquablation therapy beyond the current surgical market. We estimate that approximately 50% of BPH patients who are on drug therapy as well as 50% who have failed drug therapy are under the care of a urologist, equating to approximately 3.9 million men. We believe we can reach these patients by continuing to educate our network of urologists of the clinical benefits of Aquablation therapy, provide comprehensive training programs and deepen our relationships with key urologists and various medical societies. Furthermore, we believe that additional coverage by private payors will continue to drive increased utilization.</w:t>
      </w:r>
    </w:p>
    <w:p>
      <w:pPr>
        <w:spacing w:after="0" w:line="121" w:lineRule="exact"/>
        <w:rPr>
          <w:sz w:val="20"/>
          <w:szCs w:val="20"/>
          <w:color w:val="auto"/>
        </w:rPr>
      </w:pPr>
    </w:p>
    <w:p>
      <w:pPr>
        <w:ind w:left="620" w:right="120" w:hanging="307"/>
        <w:spacing w:after="0" w:line="294" w:lineRule="auto"/>
        <w:tabs>
          <w:tab w:leader="none" w:pos="616"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broaden private payor coverage. </w:t>
      </w:r>
      <w:r>
        <w:rPr>
          <w:rFonts w:ascii="Arial" w:cs="Arial" w:eastAsia="Arial" w:hAnsi="Arial"/>
          <w:sz w:val="15"/>
          <w:szCs w:val="15"/>
          <w:color w:val="auto"/>
        </w:rPr>
        <w:t>Since the addition of Aquablation therapy to AUA clinical guidelines in May 2019, we have significantly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grown coverage for Aquablation therapy in the United States. Effective in 2021, all local MACs, which represent 100% of eligible Medicare patients, issued final positive local coverage determinations to provide Medicare beneficiaries with access to Aquablation therapy in all 50 states so long as such beneficiaries meet certain clinical criteria set forth in the local coverage determinations. We believe that these favorable coverage decisions have been a catalyst for hospital adoption of our AquaBeam Robotic System. Our strong body of clinical evidence and support from key societies, supplemented by the momentum from Medicare coverage, have led to favorable coverage decisions from many large private payors. We plan to leverage these recent successes in our active discussions with private payors to establish additional positive national and regional coverage policies. We believe that additional private payor coverage will contribute to increasing utilization of our system over time. Outside of the United States, we have ongoing efforts in key markets to expand established coverage and further improve patient access to Aquablation therapy.</w:t>
      </w:r>
    </w:p>
    <w:p>
      <w:pPr>
        <w:spacing w:after="0" w:line="109" w:lineRule="exact"/>
        <w:rPr>
          <w:rFonts w:ascii="Arial" w:cs="Arial" w:eastAsia="Arial" w:hAnsi="Arial"/>
          <w:sz w:val="15"/>
          <w:szCs w:val="15"/>
          <w:color w:val="auto"/>
        </w:rPr>
      </w:pPr>
    </w:p>
    <w:p>
      <w:pPr>
        <w:ind w:left="620" w:right="140" w:hanging="307"/>
        <w:spacing w:after="0" w:line="257"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upon our strong base of clinical evidence. </w:t>
      </w:r>
      <w:r>
        <w:rPr>
          <w:rFonts w:ascii="Arial" w:cs="Arial" w:eastAsia="Arial" w:hAnsi="Arial"/>
          <w:sz w:val="17"/>
          <w:szCs w:val="17"/>
          <w:color w:val="auto"/>
        </w:rPr>
        <w:t>We are committed to continuing to build upon our foundation of clinical evidence, which we believe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help drive increased awareness and adoption of our products. For example, we are continuing to follow patients in our WATER and WATER II studies to collect five-year clinical outcomes as well as conducting sub-group analyses across our base of clinical data that we believe will further define the role of Aquablation therapy across patient populations. We also plan to further build our base of clinical evidence by supporting new clinical studies intended to support commercial, regulatory and reimbursement efforts. For example, we are supporting an investigator-initiated clinical study, called WATER III, which is a randomized controlled trial evaluating Aquablation therapy against laser enucleation in treating BPH patients with large prostate sizes.</w:t>
      </w:r>
    </w:p>
    <w:p>
      <w:pPr>
        <w:spacing w:after="0" w:line="133" w:lineRule="exact"/>
        <w:rPr>
          <w:rFonts w:ascii="Arial" w:cs="Arial" w:eastAsia="Arial" w:hAnsi="Arial"/>
          <w:sz w:val="17"/>
          <w:szCs w:val="17"/>
          <w:color w:val="auto"/>
        </w:rPr>
      </w:pPr>
    </w:p>
    <w:p>
      <w:pPr>
        <w:ind w:left="620" w:right="80" w:hanging="307"/>
        <w:spacing w:after="0" w:line="302" w:lineRule="auto"/>
        <w:tabs>
          <w:tab w:leader="none" w:pos="616" w:val="left"/>
        </w:tabs>
        <w:numPr>
          <w:ilvl w:val="0"/>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Invest in research and development to drive continuous improvements and innovation. </w:t>
      </w:r>
      <w:r>
        <w:rPr>
          <w:rFonts w:ascii="Arial" w:cs="Arial" w:eastAsia="Arial" w:hAnsi="Arial"/>
          <w:sz w:val="15"/>
          <w:szCs w:val="15"/>
          <w:color w:val="auto"/>
        </w:rPr>
        <w:t>We are currently developing additional and next generation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machine-learning to enable computer-assisted anatomy recognition and improved treatment planning and personalization. In the future, we may evaluate the application of the AquaBeam Robotic System in new urologic conditions beyond BPH.</w:t>
      </w:r>
    </w:p>
    <w:p>
      <w:pPr>
        <w:spacing w:after="0" w:line="100" w:lineRule="exact"/>
        <w:rPr>
          <w:rFonts w:ascii="Arial" w:cs="Arial" w:eastAsia="Arial" w:hAnsi="Arial"/>
          <w:sz w:val="15"/>
          <w:szCs w:val="15"/>
          <w:color w:val="auto"/>
        </w:rPr>
      </w:pPr>
    </w:p>
    <w:p>
      <w:pPr>
        <w:ind w:left="620" w:hanging="307"/>
        <w:spacing w:after="0" w:line="277"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increased awareness of Aquablation therapy beyond the urology community. </w:t>
      </w:r>
      <w:r>
        <w:rPr>
          <w:rFonts w:ascii="Arial" w:cs="Arial" w:eastAsia="Arial" w:hAnsi="Arial"/>
          <w:sz w:val="16"/>
          <w:szCs w:val="16"/>
          <w:color w:val="auto"/>
        </w:rPr>
        <w:t>As we expand our network of urologists and grow our installed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increase awareness and brand recognition of Aquablation therapy beyond urologists, primarily among primary care physicians who manage BPH patients. We estimate that approximately 3.9 million men, including approximately 3.3 million patients who are on drug therapy and 600,000 who have failed drug therapy, are under the care of a primary care physician. To achieve this objective, we will invest in marketing initiatives directed at primary care physicians in order to expand networks for BPH patients to visit a urologist. Once we have established a broader installed base of systems, we may seek to further increase patient awareness through various direct-to-patient marketing initiatives.</w:t>
      </w:r>
    </w:p>
    <w:p>
      <w:pPr>
        <w:spacing w:after="0" w:line="118" w:lineRule="exact"/>
        <w:rPr>
          <w:rFonts w:ascii="Arial" w:cs="Arial" w:eastAsia="Arial" w:hAnsi="Arial"/>
          <w:sz w:val="16"/>
          <w:szCs w:val="16"/>
          <w:color w:val="auto"/>
        </w:rPr>
      </w:pPr>
    </w:p>
    <w:p>
      <w:pPr>
        <w:ind w:left="620" w:right="20" w:hanging="307"/>
        <w:spacing w:after="0" w:line="283" w:lineRule="auto"/>
        <w:tabs>
          <w:tab w:leader="none" w:pos="616"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penetrate and expand into existing and new international markets. </w:t>
      </w:r>
      <w:r>
        <w:rPr>
          <w:rFonts w:ascii="Arial" w:cs="Arial" w:eastAsia="Arial" w:hAnsi="Arial"/>
          <w:sz w:val="16"/>
          <w:szCs w:val="16"/>
          <w:color w:val="auto"/>
        </w:rPr>
        <w:t>We plan to establish and strengthen our presence internationally. While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remains our primary focus in the near-term, we are growing our existing presence in other markets, including Germany, France, Italy, Spain, United Kingdom, Korea and Japan, by continuing to promote the clinical benefits of Aquablation therapy, supporting investments in clinical studies to improve coverage and reimbursement and fostering relationships with KOLs. We plan to strategically</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invest in new markets based on our assessment of market size and opportunity and prospects for compelling reimbursement.</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Overview</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Addressable Market Opportunity in BPH</w:t>
      </w:r>
    </w:p>
    <w:p>
      <w:pPr>
        <w:spacing w:after="0" w:line="165" w:lineRule="exact"/>
        <w:rPr>
          <w:sz w:val="20"/>
          <w:szCs w:val="20"/>
          <w:color w:val="auto"/>
        </w:rPr>
      </w:pPr>
    </w:p>
    <w:p>
      <w:pPr>
        <w:ind w:right="40" w:firstLine="309"/>
        <w:spacing w:after="0" w:line="262" w:lineRule="auto"/>
        <w:rPr>
          <w:sz w:val="20"/>
          <w:szCs w:val="20"/>
          <w:color w:val="auto"/>
        </w:rPr>
      </w:pPr>
      <w:r>
        <w:rPr>
          <w:rFonts w:ascii="Arial" w:cs="Arial" w:eastAsia="Arial" w:hAnsi="Arial"/>
          <w:sz w:val="17"/>
          <w:szCs w:val="17"/>
          <w:color w:val="auto"/>
        </w:rPr>
        <w:t>In the United States, BPH is the number one reason men visit a urologist. BPH is estimated to occur in more than 50% of men in their 50s, growing to 70% of men in their 60s, and is the fourth most common diagnosed disease in men above 50 years old, ranking behind coronary artery disease, hypertension and type 2 diabetes. BPH often results in uncomfortable LUTS, which can have a significant impact on quality of life. If left untreated, BPH may eventually lead to more serious complications.</w:t>
      </w:r>
    </w:p>
    <w:p>
      <w:pPr>
        <w:spacing w:after="0" w:line="126" w:lineRule="exact"/>
        <w:rPr>
          <w:sz w:val="20"/>
          <w:szCs w:val="20"/>
          <w:color w:val="auto"/>
        </w:rPr>
      </w:pPr>
    </w:p>
    <w:p>
      <w:pPr>
        <w:ind w:right="80" w:firstLine="309"/>
        <w:spacing w:after="0" w:line="273" w:lineRule="auto"/>
        <w:rPr>
          <w:sz w:val="20"/>
          <w:szCs w:val="20"/>
          <w:color w:val="auto"/>
        </w:rPr>
      </w:pPr>
      <w:r>
        <w:rPr>
          <w:rFonts w:ascii="Arial" w:cs="Arial" w:eastAsia="Arial" w:hAnsi="Arial"/>
          <w:sz w:val="16"/>
          <w:szCs w:val="16"/>
          <w:color w:val="auto"/>
        </w:rPr>
        <w:t>In the United States, we estimate that approximately 40 million men are impacted by symptoms of BPH, with aging demographics expected to drive future growth. Over the next ten years, we expect that the number of men over 65 years old in the United States will double and include a corresponding increase in the number of men with enlarged prostates. Of these men, approximately 12 million are being managed by a physician for symptoms related to their disease. While drug therapy is typically a first line treatment option, limited efficacy and negative side effects contribute to low patient compliance, high failure rates and drop outs. On the other hand, surgical intervention is proven to provide effective and durable symptom relief compared to drug therapy, but the use of surgery is significantly underpenetrated, largely due to the compromise patients must make between (1) the incidence of irreversible side effects associated with current resective surgical interventions, or (2) the lower rates of efficacy and durability associated with non-resective surgical interventions. Our total addressable patient population in the United States includes approximately 8.2 million patients, comprised of 6.7 million receiving drug therapy, 1.1 million who have tried but failed drug therapy and 400,000 undergoing surgical intervention each year. Based on the average selling price of our single-use handpiece, we estimate that our total addressable market opportunity is in excess of $20 billion in the United States. The global incidence of BPH among men over 50 years old is similar to that of the United States, representing a significant incremental market opportunity outside of the United States.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 of the Prostate</w:t>
      </w:r>
    </w:p>
    <w:p>
      <w:pPr>
        <w:spacing w:after="0" w:line="165"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The prostate is a small gland in the male reproductive system. The prostate sits underneath the bladder and surrounds the top part of the urethra, which carries urine from the bladder.</w:t>
      </w:r>
    </w:p>
    <w:p>
      <w:pPr>
        <w:spacing w:after="0" w:line="113" w:lineRule="exact"/>
        <w:rPr>
          <w:sz w:val="20"/>
          <w:szCs w:val="20"/>
          <w:color w:val="auto"/>
        </w:rPr>
      </w:pPr>
    </w:p>
    <w:p>
      <w:pPr>
        <w:ind w:firstLine="309"/>
        <w:spacing w:after="0" w:line="290" w:lineRule="auto"/>
        <w:rPr>
          <w:sz w:val="20"/>
          <w:szCs w:val="20"/>
          <w:color w:val="auto"/>
        </w:rPr>
      </w:pPr>
      <w:r>
        <w:rPr>
          <w:rFonts w:ascii="Arial" w:cs="Arial" w:eastAsia="Arial" w:hAnsi="Arial"/>
          <w:sz w:val="16"/>
          <w:szCs w:val="16"/>
          <w:color w:val="auto"/>
        </w:rPr>
        <w:t>The prostate is approximately the size of a walnut in men younger than 30 years old; as men age, the prostate grows larger. At puberty, testosterone levels in boys start to increase and the prostate grows to about eight times its size. The prostate continues to grow, doubling in size between the ages of 21 and 50 years, and almost doubles again in size between the ages of 50 and 80 years. Prostate size is generally measured in volume using milliliters, or ml.</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BPH Disease Overview and Diagnosis</w:t>
      </w:r>
    </w:p>
    <w:p>
      <w:pPr>
        <w:spacing w:after="0" w:line="165" w:lineRule="exact"/>
        <w:rPr>
          <w:sz w:val="20"/>
          <w:szCs w:val="20"/>
          <w:color w:val="auto"/>
        </w:rPr>
      </w:pPr>
    </w:p>
    <w:p>
      <w:pPr>
        <w:ind w:right="40" w:firstLine="309"/>
        <w:spacing w:after="0" w:line="290" w:lineRule="auto"/>
        <w:rPr>
          <w:sz w:val="20"/>
          <w:szCs w:val="20"/>
          <w:color w:val="auto"/>
        </w:rPr>
      </w:pPr>
      <w:r>
        <w:rPr>
          <w:rFonts w:ascii="Arial" w:cs="Arial" w:eastAsia="Arial" w:hAnsi="Arial"/>
          <w:sz w:val="16"/>
          <w:szCs w:val="16"/>
          <w:color w:val="auto"/>
        </w:rPr>
        <w:t>BPH refers to the non-malignant enlargement of the prostate gland. As the prostate enlarges, the gland presses against the urethra, which may obstruct or restrict the flow of urine from the bladder and result in uncomfortable LUTS, such as urgency, frequency, urinary retention, straining to urinate and a weak urinary stream. Without treatment, prolonged obstruction may eventually lead to acute urinary retention, urinary tract infections or renal insufficiency.</w:t>
      </w:r>
    </w:p>
    <w:p>
      <w:pPr>
        <w:spacing w:after="0" w:line="107" w:lineRule="exact"/>
        <w:rPr>
          <w:sz w:val="20"/>
          <w:szCs w:val="20"/>
          <w:color w:val="auto"/>
        </w:rPr>
      </w:pPr>
    </w:p>
    <w:p>
      <w:pPr>
        <w:ind w:right="80" w:firstLine="309"/>
        <w:spacing w:after="0" w:line="290" w:lineRule="auto"/>
        <w:rPr>
          <w:sz w:val="20"/>
          <w:szCs w:val="20"/>
          <w:color w:val="auto"/>
        </w:rPr>
      </w:pPr>
      <w:r>
        <w:rPr>
          <w:rFonts w:ascii="Arial" w:cs="Arial" w:eastAsia="Arial" w:hAnsi="Arial"/>
          <w:sz w:val="16"/>
          <w:szCs w:val="16"/>
          <w:color w:val="auto"/>
        </w:rPr>
        <w:t>According to the AUA guidelines, it is estimated that 90% of men between the ages of 45 and 80 will experience LUTS, and 50% of them will experience moderate-to-severe symptoms by the time they are 85 years old, which we believe are predominantly caused by BPH. Furthermore, 50% of men between the ages of 51-60 have pathological BPH. According to our internal marketing survey, 99% of men diagnosed with BPH say symptoms impact their quality of life.</w:t>
      </w:r>
    </w:p>
    <w:p>
      <w:pPr>
        <w:spacing w:after="0" w:line="107" w:lineRule="exact"/>
        <w:rPr>
          <w:sz w:val="20"/>
          <w:szCs w:val="20"/>
          <w:color w:val="auto"/>
        </w:rPr>
      </w:pPr>
    </w:p>
    <w:p>
      <w:pPr>
        <w:ind w:right="20" w:firstLine="309"/>
        <w:spacing w:after="0" w:line="262" w:lineRule="auto"/>
        <w:rPr>
          <w:sz w:val="20"/>
          <w:szCs w:val="20"/>
          <w:color w:val="auto"/>
        </w:rPr>
      </w:pPr>
      <w:r>
        <w:rPr>
          <w:rFonts w:ascii="Arial" w:cs="Arial" w:eastAsia="Arial" w:hAnsi="Arial"/>
          <w:sz w:val="17"/>
          <w:szCs w:val="17"/>
          <w:color w:val="auto"/>
        </w:rPr>
        <w:t>Clinical diagnosis of BPH typically involves a number of tests that are used to assess the degree of LUTS and determine whether the symptoms are caused by BPH or another condition. LUTS are classified as either mild, moderate or severe. Patients suffering from symptoms of BPH are typically first seen by a primary care physician, who may diagnose and manage the patient, or refer the patient to a urologist. Urologists are trained to perform surgery for various types of urologic conditions, including BPH.</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BPH Treatment Options</w:t>
      </w:r>
    </w:p>
    <w:p>
      <w:pPr>
        <w:spacing w:after="0" w:line="165" w:lineRule="exact"/>
        <w:rPr>
          <w:sz w:val="20"/>
          <w:szCs w:val="20"/>
          <w:color w:val="auto"/>
        </w:rPr>
      </w:pPr>
    </w:p>
    <w:p>
      <w:pPr>
        <w:ind w:right="620" w:firstLine="309"/>
        <w:spacing w:after="0" w:line="279" w:lineRule="auto"/>
        <w:rPr>
          <w:sz w:val="20"/>
          <w:szCs w:val="20"/>
          <w:color w:val="auto"/>
        </w:rPr>
      </w:pPr>
      <w:r>
        <w:rPr>
          <w:rFonts w:ascii="Arial" w:cs="Arial" w:eastAsia="Arial" w:hAnsi="Arial"/>
          <w:sz w:val="17"/>
          <w:szCs w:val="17"/>
          <w:color w:val="auto"/>
        </w:rPr>
        <w:t>The main goal of BPH treatment is to alleviate the symptoms associated with the disease and improve the patient’s quality of life. As such, a patient’s recommended course of treatment is largely based on the patient’s degree of symptoms.</w:t>
      </w: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Patients who choose this approach are generally advised to implement lifestyle changes and return for yearly visits with their physician to determine if symptoms are changing. For most men, the prostate will continue to grow and symptoms will worsen. As symptoms become more bothersome, active treatment may be recommended. The two primary categories of active treatment for BPH are drug therapy and surgical intervention.</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Drug Therapy</w:t>
      </w:r>
    </w:p>
    <w:p>
      <w:pPr>
        <w:spacing w:after="0" w:line="165" w:lineRule="exact"/>
        <w:rPr>
          <w:sz w:val="20"/>
          <w:szCs w:val="20"/>
          <w:color w:val="auto"/>
        </w:rPr>
      </w:pPr>
    </w:p>
    <w:p>
      <w:pPr>
        <w:ind w:right="100" w:firstLine="309"/>
        <w:spacing w:after="0" w:line="277" w:lineRule="auto"/>
        <w:rPr>
          <w:sz w:val="20"/>
          <w:szCs w:val="20"/>
          <w:color w:val="auto"/>
        </w:rPr>
      </w:pPr>
      <w:r>
        <w:rPr>
          <w:rFonts w:ascii="Arial" w:cs="Arial" w:eastAsia="Arial" w:hAnsi="Arial"/>
          <w:sz w:val="16"/>
          <w:szCs w:val="16"/>
          <w:color w:val="auto"/>
        </w:rPr>
        <w:t>Drug therapy is often the first step in actively treating mild-to-moderate symptoms of BPH. While there is no pharmacological cure for BPH, drugs may be used to manage symptoms. Without surgical intervention, most men with BPH who start drug therapy will need to continue it indefinitely in order to relieve symptoms. While drug therapy can provide relief for some men, two out of three patients are not satisfied with the effectiveness of their medication. Drug therapy is also often associated with negative side effects, including headaches, dizziness, nausea, erectile dysfunction, ejaculatory dysfunction, loss of libido, cardiac failure and dementia. These side effects often contribute to poor treatment compliance, with drug therapy failing in up to 30% of men within two years. Furthermore, drug therapy may be costly, particularly in light of limited symptom relief.</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Surgical Intervention</w:t>
      </w:r>
    </w:p>
    <w:p>
      <w:pPr>
        <w:spacing w:after="0" w:line="165" w:lineRule="exact"/>
        <w:rPr>
          <w:sz w:val="20"/>
          <w:szCs w:val="20"/>
          <w:color w:val="auto"/>
        </w:rPr>
      </w:pPr>
    </w:p>
    <w:p>
      <w:pPr>
        <w:ind w:right="120" w:firstLine="309"/>
        <w:spacing w:after="0" w:line="283" w:lineRule="auto"/>
        <w:rPr>
          <w:sz w:val="20"/>
          <w:szCs w:val="20"/>
          <w:color w:val="auto"/>
        </w:rPr>
      </w:pPr>
      <w:r>
        <w:rPr>
          <w:rFonts w:ascii="Arial" w:cs="Arial" w:eastAsia="Arial" w:hAnsi="Arial"/>
          <w:sz w:val="16"/>
          <w:szCs w:val="16"/>
          <w:color w:val="auto"/>
        </w:rPr>
        <w:t>Surgical intervention is recommended for patients who have failed or are unwilling to consider drug therapy, or are suffering from complications due to their BPH. Although more invasive than drug therapy, surgical intervention generally provides more significant, longer-lasting symptom relief. We believe that growth in the use of surgical intervention over the past several years is due to the introduction of new technologies that better balance the compromise between efficacy and safety as well as growing awareness of surgical intervention as an effective way to manage BPH symptoms compared to drug therapy.</w:t>
      </w:r>
    </w:p>
    <w:p>
      <w:pPr>
        <w:spacing w:after="0" w:line="112" w:lineRule="exact"/>
        <w:rPr>
          <w:sz w:val="20"/>
          <w:szCs w:val="20"/>
          <w:color w:val="auto"/>
        </w:rPr>
      </w:pPr>
    </w:p>
    <w:p>
      <w:pPr>
        <w:ind w:right="720" w:firstLine="309"/>
        <w:spacing w:after="0" w:line="279" w:lineRule="auto"/>
        <w:rPr>
          <w:sz w:val="20"/>
          <w:szCs w:val="20"/>
          <w:color w:val="auto"/>
        </w:rPr>
      </w:pPr>
      <w:r>
        <w:rPr>
          <w:rFonts w:ascii="Arial" w:cs="Arial" w:eastAsia="Arial" w:hAnsi="Arial"/>
          <w:sz w:val="17"/>
          <w:szCs w:val="17"/>
          <w:color w:val="auto"/>
        </w:rPr>
        <w:t>There are two categories of surgical intervention, resective, where obstructive tissue is removed at the time of intervention, and non-resective, where obstructive tissue is not removed, but rather the prostatic urethra is re-shaped.</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Resective Procedures</w:t>
      </w:r>
    </w:p>
    <w:p>
      <w:pPr>
        <w:spacing w:after="0" w:line="165" w:lineRule="exact"/>
        <w:rPr>
          <w:sz w:val="20"/>
          <w:szCs w:val="20"/>
          <w:color w:val="auto"/>
        </w:rPr>
      </w:pPr>
    </w:p>
    <w:p>
      <w:pPr>
        <w:ind w:right="140" w:firstLine="309"/>
        <w:spacing w:after="0" w:line="279" w:lineRule="auto"/>
        <w:rPr>
          <w:sz w:val="20"/>
          <w:szCs w:val="20"/>
          <w:color w:val="auto"/>
        </w:rPr>
      </w:pPr>
      <w:r>
        <w:rPr>
          <w:rFonts w:ascii="Arial" w:cs="Arial" w:eastAsia="Arial" w:hAnsi="Arial"/>
          <w:sz w:val="17"/>
          <w:szCs w:val="17"/>
          <w:color w:val="auto"/>
        </w:rPr>
        <w:t>Resective prostate procedures generally provide more significant and longer-lasting symptom relief than non-resective procedures, but may result in a higher incidence of irreversible complications, including urinary incontinence, erectile dysfunction and ejaculatory dysfunction.</w:t>
      </w:r>
    </w:p>
    <w:p>
      <w:pPr>
        <w:spacing w:after="0" w:line="113" w:lineRule="exact"/>
        <w:rPr>
          <w:sz w:val="20"/>
          <w:szCs w:val="20"/>
          <w:color w:val="auto"/>
        </w:rPr>
      </w:pPr>
    </w:p>
    <w:p>
      <w:pPr>
        <w:ind w:right="140" w:firstLine="309"/>
        <w:spacing w:after="0" w:line="279" w:lineRule="auto"/>
        <w:rPr>
          <w:sz w:val="20"/>
          <w:szCs w:val="20"/>
          <w:color w:val="auto"/>
        </w:rPr>
      </w:pPr>
      <w:r>
        <w:rPr>
          <w:rFonts w:ascii="Arial" w:cs="Arial" w:eastAsia="Arial" w:hAnsi="Arial"/>
          <w:sz w:val="17"/>
          <w:szCs w:val="17"/>
          <w:color w:val="auto"/>
        </w:rPr>
        <w:t>Resective surgeries may be performed endoscopically, allowing the procedure to be completed through a tubular instrument, or via an open or a laparoscopic procedure, called a simple prostatectomy.</w:t>
      </w:r>
    </w:p>
    <w:p>
      <w:pPr>
        <w:spacing w:after="0" w:line="113" w:lineRule="exact"/>
        <w:rPr>
          <w:sz w:val="20"/>
          <w:szCs w:val="20"/>
          <w:color w:val="auto"/>
        </w:rPr>
      </w:pPr>
    </w:p>
    <w:p>
      <w:pPr>
        <w:ind w:right="180" w:firstLine="309"/>
        <w:spacing w:after="0" w:line="279" w:lineRule="auto"/>
        <w:rPr>
          <w:sz w:val="20"/>
          <w:szCs w:val="20"/>
          <w:color w:val="auto"/>
        </w:rPr>
      </w:pPr>
      <w:r>
        <w:rPr>
          <w:rFonts w:ascii="Arial" w:cs="Arial" w:eastAsia="Arial" w:hAnsi="Arial"/>
          <w:sz w:val="17"/>
          <w:szCs w:val="17"/>
          <w:color w:val="auto"/>
        </w:rPr>
        <w:t>Endoscopic procedures access the prostate through the urethra, so no incisions are made in the patient’s abdomen. Common alternative endoscopic resective procedures include:</w:t>
      </w:r>
    </w:p>
    <w:p>
      <w:pPr>
        <w:spacing w:after="0" w:line="113" w:lineRule="exact"/>
        <w:rPr>
          <w:sz w:val="20"/>
          <w:szCs w:val="20"/>
          <w:color w:val="auto"/>
        </w:rPr>
      </w:pPr>
    </w:p>
    <w:p>
      <w:pPr>
        <w:ind w:left="620" w:right="220" w:hanging="307"/>
        <w:spacing w:after="0" w:line="266"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Transurethral Resection of the Prostate. </w:t>
      </w:r>
      <w:r>
        <w:rPr>
          <w:rFonts w:ascii="Arial" w:cs="Arial" w:eastAsia="Arial" w:hAnsi="Arial"/>
          <w:sz w:val="17"/>
          <w:szCs w:val="17"/>
          <w:color w:val="auto"/>
        </w:rPr>
        <w:t>TURP is a resective procedure which uses electrocautery to cut and remove prostate tissue. Despite being used</w:t>
      </w:r>
      <w:r>
        <w:rPr>
          <w:rFonts w:ascii="Arial" w:cs="Arial" w:eastAsia="Arial" w:hAnsi="Arial"/>
          <w:sz w:val="17"/>
          <w:szCs w:val="17"/>
          <w:i w:val="1"/>
          <w:iCs w:val="1"/>
          <w:color w:val="auto"/>
        </w:rPr>
        <w:t xml:space="preserve"> </w:t>
      </w:r>
      <w:r>
        <w:rPr>
          <w:rFonts w:ascii="Arial" w:cs="Arial" w:eastAsia="Arial" w:hAnsi="Arial"/>
          <w:sz w:val="17"/>
          <w:szCs w:val="17"/>
          <w:color w:val="auto"/>
        </w:rPr>
        <w:t>for almost a century, this procedure is still the most frequently performed resective surgery and is considered the historical standard of care for the surgical treatment of BPH for prostates less than 80 ml.</w:t>
      </w:r>
    </w:p>
    <w:p>
      <w:pPr>
        <w:spacing w:after="0" w:line="123" w:lineRule="exact"/>
        <w:rPr>
          <w:rFonts w:ascii="Arial" w:cs="Arial" w:eastAsia="Arial" w:hAnsi="Arial"/>
          <w:sz w:val="17"/>
          <w:szCs w:val="17"/>
          <w:color w:val="auto"/>
        </w:rPr>
      </w:pPr>
    </w:p>
    <w:p>
      <w:pPr>
        <w:ind w:left="620" w:right="120" w:hanging="307"/>
        <w:spacing w:after="0" w:line="266"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Photoselective Vaporization of the Prostate, or PVP. </w:t>
      </w:r>
      <w:r>
        <w:rPr>
          <w:rFonts w:ascii="Arial" w:cs="Arial" w:eastAsia="Arial" w:hAnsi="Arial"/>
          <w:sz w:val="17"/>
          <w:szCs w:val="17"/>
          <w:color w:val="auto"/>
        </w:rPr>
        <w:t>PVP is a transurethral form of treatment that utilizes a laser fiber to vaporize prostate tissue</w:t>
      </w:r>
      <w:r>
        <w:rPr>
          <w:rFonts w:ascii="Arial" w:cs="Arial" w:eastAsia="Arial" w:hAnsi="Arial"/>
          <w:sz w:val="17"/>
          <w:szCs w:val="17"/>
          <w:i w:val="1"/>
          <w:iCs w:val="1"/>
          <w:color w:val="auto"/>
        </w:rPr>
        <w:t xml:space="preserve"> </w:t>
      </w:r>
      <w:r>
        <w:rPr>
          <w:rFonts w:ascii="Arial" w:cs="Arial" w:eastAsia="Arial" w:hAnsi="Arial"/>
          <w:sz w:val="17"/>
          <w:szCs w:val="17"/>
          <w:color w:val="auto"/>
        </w:rPr>
        <w:t>sequentially outwards until the surgeon creates a sufficient cavity through which the patient may now void. PVP is generally used in patients with small-to average-sized prostates and can be used in patients who are at high risk of bleeding complications.</w:t>
      </w:r>
    </w:p>
    <w:p>
      <w:pPr>
        <w:spacing w:after="0" w:line="123" w:lineRule="exact"/>
        <w:rPr>
          <w:rFonts w:ascii="Arial" w:cs="Arial" w:eastAsia="Arial" w:hAnsi="Arial"/>
          <w:sz w:val="17"/>
          <w:szCs w:val="17"/>
          <w:color w:val="auto"/>
        </w:rPr>
      </w:pPr>
    </w:p>
    <w:p>
      <w:pPr>
        <w:ind w:left="620" w:right="100" w:hanging="307"/>
        <w:spacing w:after="0" w:line="262"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Laser Enucleation of the Prostate. </w:t>
      </w:r>
      <w:r>
        <w:rPr>
          <w:rFonts w:ascii="Arial" w:cs="Arial" w:eastAsia="Arial" w:hAnsi="Arial"/>
          <w:sz w:val="17"/>
          <w:szCs w:val="17"/>
          <w:color w:val="auto"/>
        </w:rPr>
        <w:t>Laser enucleation utilizes a surgical laser to manually resect prostate tissue through the urethra. This procedure allows</w:t>
      </w:r>
      <w:r>
        <w:rPr>
          <w:rFonts w:ascii="Arial" w:cs="Arial" w:eastAsia="Arial" w:hAnsi="Arial"/>
          <w:sz w:val="17"/>
          <w:szCs w:val="17"/>
          <w:i w:val="1"/>
          <w:iCs w:val="1"/>
          <w:color w:val="auto"/>
        </w:rPr>
        <w:t xml:space="preserve"> </w:t>
      </w:r>
      <w:r>
        <w:rPr>
          <w:rFonts w:ascii="Arial" w:cs="Arial" w:eastAsia="Arial" w:hAnsi="Arial"/>
          <w:sz w:val="17"/>
          <w:szCs w:val="17"/>
          <w:color w:val="auto"/>
        </w:rPr>
        <w:t>the surgeon to follow anatomic planes to separate entire lobes of the prostate. In general, separated prostate lobes are then pushed into the bladder and suctioned out via a special tool. Laser enucleation is prostate size-independent; however, this procedure is more commonly used in larger prostates, and adoption has been limited due to the high degree of skill and experience required.</w:t>
      </w:r>
    </w:p>
    <w:p>
      <w:pPr>
        <w:spacing w:after="0" w:line="126" w:lineRule="exact"/>
        <w:rPr>
          <w:sz w:val="20"/>
          <w:szCs w:val="20"/>
          <w:color w:val="auto"/>
        </w:rPr>
      </w:pPr>
    </w:p>
    <w:p>
      <w:pPr>
        <w:ind w:firstLine="309"/>
        <w:spacing w:after="0" w:line="318" w:lineRule="auto"/>
        <w:rPr>
          <w:sz w:val="20"/>
          <w:szCs w:val="20"/>
          <w:color w:val="auto"/>
        </w:rPr>
      </w:pPr>
      <w:r>
        <w:rPr>
          <w:rFonts w:ascii="Arial" w:cs="Arial" w:eastAsia="Arial" w:hAnsi="Arial"/>
          <w:sz w:val="15"/>
          <w:szCs w:val="15"/>
          <w:color w:val="auto"/>
        </w:rPr>
        <w:t>A simple prostatectomy is an invasive, open procedure that requires one or more incisions to be made in the patient’s abdomen to access and remove part or all of the prostate. This procedure is typically a last resort treatment for BPH in patients with very large prostates or those patients with severe complications due to BPH. This surgery may be done manually, or with the assistance of a robot, but in either case is a procedure that requires a high degree of surgeon skill.</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Non-Resective Procedures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firstLine="309"/>
        <w:spacing w:after="0" w:line="258" w:lineRule="auto"/>
        <w:rPr>
          <w:sz w:val="20"/>
          <w:szCs w:val="20"/>
          <w:color w:val="auto"/>
        </w:rPr>
      </w:pPr>
      <w:r>
        <w:rPr>
          <w:rFonts w:ascii="Arial" w:cs="Arial" w:eastAsia="Arial" w:hAnsi="Arial"/>
          <w:sz w:val="17"/>
          <w:szCs w:val="17"/>
          <w:color w:val="auto"/>
        </w:rPr>
        <w:t>In non-resective procedures, prostate tissue is not removed at the time of surgery. By not removing tissue, symptom relief is generally less significant and durable compared to resective procedures. The two most common commercially available non-resective procedures are prostatic urethral lift, or PUL, and water vapor therapy. PUL uses permanent implants of nitinol and stainless steel placed transurethrally to pin back and compress obstructing prostate tissue, thus creating a channel for improved urinary flow. Water vapor therapy utilizes principles of convection by transurethrally delivering water vapor into obstructing prostate tissue, which results in cell death and reduction of prostate volume over a period of three to six months. Non-resective procedures are generally approved for small- to average-sized prostates.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Alternative Surgical Interventions</w:t>
      </w:r>
    </w:p>
    <w:p>
      <w:pPr>
        <w:spacing w:after="0" w:line="165" w:lineRule="exact"/>
        <w:rPr>
          <w:sz w:val="20"/>
          <w:szCs w:val="20"/>
          <w:color w:val="auto"/>
        </w:rPr>
      </w:pPr>
    </w:p>
    <w:p>
      <w:pPr>
        <w:ind w:right="120" w:firstLine="309"/>
        <w:spacing w:after="0" w:line="276" w:lineRule="auto"/>
        <w:rPr>
          <w:sz w:val="20"/>
          <w:szCs w:val="20"/>
          <w:color w:val="auto"/>
        </w:rPr>
      </w:pPr>
      <w:r>
        <w:rPr>
          <w:rFonts w:ascii="Arial" w:cs="Arial" w:eastAsia="Arial" w:hAnsi="Arial"/>
          <w:sz w:val="16"/>
          <w:szCs w:val="16"/>
          <w:color w:val="auto"/>
        </w:rPr>
        <w:t>Two factors that surgeons and patients commonly consider when evaluating surgical intervention are efficacy and safety. Efficacy is generally measured by symptom relief as well as durability of relief, and safety by the occurrence of irreversible complications such as urinary incontinence, erectile dysfunction and ejaculatory dysfunction. We believe that alternative surgical interventions for BPH require patients to compromise between efficacy and safety. Alternative interventions either provide significant symptom relief with a heightened risk of irreversible complications or a lower risk of complications with significantly less symptom relief. In addition, most alternative surgical interventions are limited by prostate size and shape, with no single procedure capable of effectively addressing the full range of prostate anatomies regardless of surgeon experience level. We believe that the compromise and limitations associated with alternative surgical interventions have contributed to the relatively low penetration rate of surgical intervention.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of Endoscopic Resective Procedures</w:t>
      </w:r>
    </w:p>
    <w:p>
      <w:pPr>
        <w:spacing w:after="0" w:line="165" w:lineRule="exact"/>
        <w:rPr>
          <w:sz w:val="20"/>
          <w:szCs w:val="20"/>
          <w:color w:val="auto"/>
        </w:rPr>
      </w:pPr>
    </w:p>
    <w:p>
      <w:pPr>
        <w:ind w:right="360" w:firstLine="309"/>
        <w:spacing w:after="0" w:line="279" w:lineRule="auto"/>
        <w:rPr>
          <w:sz w:val="20"/>
          <w:szCs w:val="20"/>
          <w:color w:val="auto"/>
        </w:rPr>
      </w:pPr>
      <w:r>
        <w:rPr>
          <w:rFonts w:ascii="Arial" w:cs="Arial" w:eastAsia="Arial" w:hAnsi="Arial"/>
          <w:sz w:val="17"/>
          <w:szCs w:val="17"/>
          <w:color w:val="auto"/>
        </w:rPr>
        <w:t>While endoscopic resective surgeries such as TURP and laser-based procedures may provide BPH patients with durable symptom relief, these procedures have a number of limitations, including:</w:t>
      </w:r>
    </w:p>
    <w:p>
      <w:pPr>
        <w:spacing w:after="0" w:line="113" w:lineRule="exact"/>
        <w:rPr>
          <w:sz w:val="20"/>
          <w:szCs w:val="20"/>
          <w:color w:val="auto"/>
        </w:rPr>
      </w:pPr>
    </w:p>
    <w:p>
      <w:pPr>
        <w:ind w:left="620" w:hanging="307"/>
        <w:spacing w:after="0" w:line="275" w:lineRule="auto"/>
        <w:tabs>
          <w:tab w:leader="none" w:pos="61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High rates of irreversible complications. </w:t>
      </w:r>
      <w:r>
        <w:rPr>
          <w:rFonts w:ascii="Arial" w:cs="Arial" w:eastAsia="Arial" w:hAnsi="Arial"/>
          <w:sz w:val="16"/>
          <w:szCs w:val="16"/>
          <w:color w:val="auto"/>
        </w:rPr>
        <w:t>Irreversible complications are a common side effect of endoscopic resective procedures. Published studies have</w:t>
      </w:r>
      <w:r>
        <w:rPr>
          <w:rFonts w:ascii="Arial" w:cs="Arial" w:eastAsia="Arial" w:hAnsi="Arial"/>
          <w:sz w:val="16"/>
          <w:szCs w:val="16"/>
          <w:i w:val="1"/>
          <w:iCs w:val="1"/>
          <w:color w:val="auto"/>
        </w:rPr>
        <w:t xml:space="preserve"> </w:t>
      </w:r>
      <w:r>
        <w:rPr>
          <w:rFonts w:ascii="Arial" w:cs="Arial" w:eastAsia="Arial" w:hAnsi="Arial"/>
          <w:sz w:val="16"/>
          <w:szCs w:val="16"/>
          <w:color w:val="auto"/>
        </w:rPr>
        <w:t>shown rates of erectile dysfunction as high as 14%, 20% and 8%, ejaculatory dysfunction as high as 89%, 50% and 77%, and incontinence as high as 2%, 2%, and 33% for TURP, PVP and laser enucleation, respectively. We believe the high rates of irreversible complications are in large part due to these technologies utilizing heat to remove prostate tissue, which may lead to unintended thermal damage to critical parts of the anatomy. Furthermore, minimal intraoperative visualization, which is generally limited to a cystoscope, provides limited visibility of the prostate and makes it difficult for the surgeon to see and preserve critical parts of the prostate during tissue resection. This results in highly variable depth of tissue penetration, damage to tissue which may extend deeper than cavity created, a potential for unintended prostate capsule perforation, potential damage to nerve bundle responsible for erectile function, and delayed healing of prostatic urethra.</w:t>
      </w:r>
    </w:p>
    <w:p>
      <w:pPr>
        <w:spacing w:after="0" w:line="118" w:lineRule="exact"/>
        <w:rPr>
          <w:rFonts w:ascii="Arial" w:cs="Arial" w:eastAsia="Arial" w:hAnsi="Arial"/>
          <w:sz w:val="16"/>
          <w:szCs w:val="16"/>
          <w:color w:val="auto"/>
        </w:rPr>
      </w:pPr>
    </w:p>
    <w:p>
      <w:pPr>
        <w:ind w:left="620" w:right="40" w:hanging="307"/>
        <w:spacing w:after="0" w:line="266"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Prostate size limitations. </w:t>
      </w:r>
      <w:r>
        <w:rPr>
          <w:rFonts w:ascii="Arial" w:cs="Arial" w:eastAsia="Arial" w:hAnsi="Arial"/>
          <w:sz w:val="17"/>
          <w:szCs w:val="17"/>
          <w:color w:val="auto"/>
        </w:rPr>
        <w:t>While TURP is considered the standard of care for surgical treatment of BPH, it is generally reserved for small- to average-sized</w:t>
      </w:r>
      <w:r>
        <w:rPr>
          <w:rFonts w:ascii="Arial" w:cs="Arial" w:eastAsia="Arial" w:hAnsi="Arial"/>
          <w:sz w:val="17"/>
          <w:szCs w:val="17"/>
          <w:i w:val="1"/>
          <w:iCs w:val="1"/>
          <w:color w:val="auto"/>
        </w:rPr>
        <w:t xml:space="preserve"> </w:t>
      </w:r>
      <w:r>
        <w:rPr>
          <w:rFonts w:ascii="Arial" w:cs="Arial" w:eastAsia="Arial" w:hAnsi="Arial"/>
          <w:sz w:val="17"/>
          <w:szCs w:val="17"/>
          <w:color w:val="auto"/>
        </w:rPr>
        <w:t>prostates below 80 ml given the length and manual nature of the procedure. For laser-based therapies, PVP is also most commonly used for small- to average-sized prostates, while laser enucleation is generally reserved for treating patients with larger prostates.</w:t>
      </w:r>
    </w:p>
    <w:p>
      <w:pPr>
        <w:spacing w:after="0" w:line="123" w:lineRule="exact"/>
        <w:rPr>
          <w:rFonts w:ascii="Arial" w:cs="Arial" w:eastAsia="Arial" w:hAnsi="Arial"/>
          <w:sz w:val="17"/>
          <w:szCs w:val="17"/>
          <w:color w:val="auto"/>
        </w:rPr>
      </w:pPr>
    </w:p>
    <w:p>
      <w:pPr>
        <w:ind w:left="620" w:hanging="307"/>
        <w:spacing w:after="0" w:line="258"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Experience dependent outcomes and long learning curves. </w:t>
      </w:r>
      <w:r>
        <w:rPr>
          <w:rFonts w:ascii="Arial" w:cs="Arial" w:eastAsia="Arial" w:hAnsi="Arial"/>
          <w:sz w:val="17"/>
          <w:szCs w:val="17"/>
          <w:color w:val="auto"/>
        </w:rPr>
        <w:t>Endoscopic resective procedures rely on manual resection of the prostate, with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outcomes often highly dependent on the surgeon’s experience level. For example, a study of a large number of patients undergoing TURP found that the rate of reoperation was 1.2-fold higher in men treated by surgeons who had performed 172 or fewer TURP procedures versus surgeons that had performed more than 402 TURP procedures. In addition, a study of 200 procedures by a surgeon performing PVP showed that the surgeon required at least 120 procedures to achieve optimal clinical outcomes. Furthermore, a study of surgeons learning to perform laser enucleation demonstrated that one-third of the surgeons failed to complete the training program.</w:t>
      </w:r>
    </w:p>
    <w:p>
      <w:pPr>
        <w:spacing w:after="0" w:line="131" w:lineRule="exact"/>
        <w:rPr>
          <w:rFonts w:ascii="Arial" w:cs="Arial" w:eastAsia="Arial" w:hAnsi="Arial"/>
          <w:sz w:val="17"/>
          <w:szCs w:val="17"/>
          <w:color w:val="auto"/>
        </w:rPr>
      </w:pPr>
    </w:p>
    <w:p>
      <w:pPr>
        <w:jc w:val="both"/>
        <w:ind w:left="620" w:right="800" w:hanging="307"/>
        <w:spacing w:after="0" w:line="349" w:lineRule="auto"/>
        <w:tabs>
          <w:tab w:leader="none" w:pos="616" w:val="left"/>
        </w:tabs>
        <w:numPr>
          <w:ilvl w:val="0"/>
          <w:numId w:val="12"/>
        </w:numPr>
        <w:rPr>
          <w:rFonts w:ascii="Arial" w:cs="Arial" w:eastAsia="Arial" w:hAnsi="Arial"/>
          <w:sz w:val="15"/>
          <w:szCs w:val="15"/>
          <w:color w:val="auto"/>
        </w:rPr>
      </w:pPr>
      <w:r>
        <w:rPr>
          <w:rFonts w:ascii="Arial" w:cs="Arial" w:eastAsia="Arial" w:hAnsi="Arial"/>
          <w:sz w:val="15"/>
          <w:szCs w:val="15"/>
          <w:i w:val="1"/>
          <w:iCs w:val="1"/>
          <w:color w:val="auto"/>
        </w:rPr>
        <w:t xml:space="preserve">Inconsistent and lengthy resection times. </w:t>
      </w:r>
      <w:r>
        <w:rPr>
          <w:rFonts w:ascii="Arial" w:cs="Arial" w:eastAsia="Arial" w:hAnsi="Arial"/>
          <w:sz w:val="15"/>
          <w:szCs w:val="15"/>
          <w:color w:val="auto"/>
        </w:rPr>
        <w:t>Endoscopic resective procedures require manual resection of prostate tissue performed under limited</w:t>
      </w:r>
      <w:r>
        <w:rPr>
          <w:rFonts w:ascii="Arial" w:cs="Arial" w:eastAsia="Arial" w:hAnsi="Arial"/>
          <w:sz w:val="15"/>
          <w:szCs w:val="15"/>
          <w:i w:val="1"/>
          <w:iCs w:val="1"/>
          <w:color w:val="auto"/>
        </w:rPr>
        <w:t xml:space="preserve"> </w:t>
      </w:r>
      <w:r>
        <w:rPr>
          <w:rFonts w:ascii="Arial" w:cs="Arial" w:eastAsia="Arial" w:hAnsi="Arial"/>
          <w:sz w:val="15"/>
          <w:szCs w:val="15"/>
          <w:color w:val="auto"/>
        </w:rPr>
        <w:t>visualization. This manual process contributes to highly inconsistent and lengthy resection times that are strongly correlated with prostate size.</w:t>
      </w:r>
    </w:p>
    <w:p>
      <w:pPr>
        <w:spacing w:after="0" w:line="200" w:lineRule="exact"/>
        <w:rPr>
          <w:sz w:val="20"/>
          <w:szCs w:val="20"/>
          <w:color w:val="auto"/>
        </w:rPr>
      </w:pP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Limitations of a Simple Prostatectomy</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While a simple prostatectomy typically provides maximum symptom relief by removing part or all of the prostate gland, this procedure is generally considered a treatment of last resort reserved for patients with large prostates. Limitations of a simple prostatectomy include:</w:t>
      </w:r>
    </w:p>
    <w:p>
      <w:pPr>
        <w:spacing w:after="0" w:line="113" w:lineRule="exact"/>
        <w:rPr>
          <w:sz w:val="20"/>
          <w:szCs w:val="20"/>
          <w:color w:val="auto"/>
        </w:rPr>
      </w:pPr>
    </w:p>
    <w:p>
      <w:pPr>
        <w:ind w:left="620" w:right="40" w:hanging="307"/>
        <w:spacing w:after="0" w:line="312" w:lineRule="auto"/>
        <w:tabs>
          <w:tab w:leader="none" w:pos="61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Surgical safety concerns. </w:t>
      </w:r>
      <w:r>
        <w:rPr>
          <w:rFonts w:ascii="Arial" w:cs="Arial" w:eastAsia="Arial" w:hAnsi="Arial"/>
          <w:sz w:val="16"/>
          <w:szCs w:val="16"/>
          <w:color w:val="auto"/>
        </w:rPr>
        <w:t>Even when performed robotically, a simple prostatectomy still requires incisions to be made in the patient’s abdomen in order to</w:t>
      </w:r>
      <w:r>
        <w:rPr>
          <w:rFonts w:ascii="Arial" w:cs="Arial" w:eastAsia="Arial" w:hAnsi="Arial"/>
          <w:sz w:val="16"/>
          <w:szCs w:val="16"/>
          <w:i w:val="1"/>
          <w:iCs w:val="1"/>
          <w:color w:val="auto"/>
        </w:rPr>
        <w:t xml:space="preserve"> </w:t>
      </w:r>
      <w:r>
        <w:rPr>
          <w:rFonts w:ascii="Arial" w:cs="Arial" w:eastAsia="Arial" w:hAnsi="Arial"/>
          <w:sz w:val="16"/>
          <w:szCs w:val="16"/>
          <w:color w:val="auto"/>
        </w:rPr>
        <w:t>access the prostate gland. Bleeding events are a key risk in these types of procedures, with transfusion rates as high as 25%.</w:t>
      </w:r>
    </w:p>
    <w:p>
      <w:pPr>
        <w:spacing w:after="0" w:line="88" w:lineRule="exact"/>
        <w:rPr>
          <w:rFonts w:ascii="Arial" w:cs="Arial" w:eastAsia="Arial" w:hAnsi="Arial"/>
          <w:sz w:val="16"/>
          <w:szCs w:val="16"/>
          <w:color w:val="auto"/>
        </w:rPr>
      </w:pPr>
    </w:p>
    <w:p>
      <w:pPr>
        <w:ind w:left="620" w:right="520" w:hanging="307"/>
        <w:spacing w:after="0" w:line="349" w:lineRule="auto"/>
        <w:tabs>
          <w:tab w:leader="none" w:pos="616"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 xml:space="preserve">High rates of irreversible complications. </w:t>
      </w:r>
      <w:r>
        <w:rPr>
          <w:rFonts w:ascii="Arial" w:cs="Arial" w:eastAsia="Arial" w:hAnsi="Arial"/>
          <w:sz w:val="15"/>
          <w:szCs w:val="15"/>
          <w:color w:val="auto"/>
        </w:rPr>
        <w:t>Similar to endoscopic resective procedures, open procedures commonly result in high rates of irreversible</w:t>
      </w:r>
      <w:r>
        <w:rPr>
          <w:rFonts w:ascii="Arial" w:cs="Arial" w:eastAsia="Arial" w:hAnsi="Arial"/>
          <w:sz w:val="15"/>
          <w:szCs w:val="15"/>
          <w:i w:val="1"/>
          <w:iCs w:val="1"/>
          <w:color w:val="auto"/>
        </w:rPr>
        <w:t xml:space="preserve"> </w:t>
      </w:r>
      <w:r>
        <w:rPr>
          <w:rFonts w:ascii="Arial" w:cs="Arial" w:eastAsia="Arial" w:hAnsi="Arial"/>
          <w:sz w:val="15"/>
          <w:szCs w:val="15"/>
          <w:color w:val="auto"/>
        </w:rPr>
        <w:t>complications, with studies showing erectile, ejaculatory dysfunction and incontinence rates as high as 2-3%, 90% and 8%, respectively.</w:t>
      </w:r>
    </w:p>
    <w:p>
      <w:pPr>
        <w:spacing w:after="0" w:line="65" w:lineRule="exact"/>
        <w:rPr>
          <w:rFonts w:ascii="Arial" w:cs="Arial" w:eastAsia="Arial" w:hAnsi="Arial"/>
          <w:sz w:val="15"/>
          <w:szCs w:val="15"/>
          <w:color w:val="auto"/>
        </w:rPr>
      </w:pPr>
    </w:p>
    <w:p>
      <w:pPr>
        <w:ind w:left="620" w:right="540" w:hanging="307"/>
        <w:spacing w:after="0" w:line="279"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Long hospital stay and recovery time. </w:t>
      </w:r>
      <w:r>
        <w:rPr>
          <w:rFonts w:ascii="Arial" w:cs="Arial" w:eastAsia="Arial" w:hAnsi="Arial"/>
          <w:sz w:val="17"/>
          <w:szCs w:val="17"/>
          <w:color w:val="auto"/>
        </w:rPr>
        <w:t>Given the invasiveness of open procedures, long hospital stays and post-procedure recovery are common.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patients typically stay in the hospital for an average of five days after surgery and have long recovery times.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Limitations of Non-Resective Procedures</w:t>
      </w:r>
    </w:p>
    <w:p>
      <w:pPr>
        <w:spacing w:after="0" w:line="165"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While non-resective procedures are associated with favorable safety profiles and limited impact on sexual function, these procedures generally deliver lower and less durable symptom relief than resective procedures. Limitations of non-resective procedures include:</w:t>
      </w:r>
    </w:p>
    <w:p>
      <w:pPr>
        <w:spacing w:after="0" w:line="113" w:lineRule="exact"/>
        <w:rPr>
          <w:sz w:val="20"/>
          <w:szCs w:val="20"/>
          <w:color w:val="auto"/>
        </w:rPr>
      </w:pPr>
    </w:p>
    <w:p>
      <w:pPr>
        <w:ind w:left="620" w:hanging="307"/>
        <w:spacing w:after="0" w:line="257"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Limited symptom relief and durability. </w:t>
      </w:r>
      <w:r>
        <w:rPr>
          <w:rFonts w:ascii="Arial" w:cs="Arial" w:eastAsia="Arial" w:hAnsi="Arial"/>
          <w:sz w:val="17"/>
          <w:szCs w:val="17"/>
          <w:color w:val="auto"/>
        </w:rPr>
        <w:t>By not removing obstructive prostate tissue, non-resective procedures generally results in less significant and</w:t>
      </w:r>
      <w:r>
        <w:rPr>
          <w:rFonts w:ascii="Arial" w:cs="Arial" w:eastAsia="Arial" w:hAnsi="Arial"/>
          <w:sz w:val="17"/>
          <w:szCs w:val="17"/>
          <w:i w:val="1"/>
          <w:iCs w:val="1"/>
          <w:color w:val="auto"/>
        </w:rPr>
        <w:t xml:space="preserve"> </w:t>
      </w:r>
      <w:r>
        <w:rPr>
          <w:rFonts w:ascii="Arial" w:cs="Arial" w:eastAsia="Arial" w:hAnsi="Arial"/>
          <w:sz w:val="17"/>
          <w:szCs w:val="17"/>
          <w:color w:val="auto"/>
        </w:rPr>
        <w:t>durable symptom relief compared to resective procedures. In addition, since prostate tissue continues to grow over time, durability of symptom relief is typically less favorable in non-resective procedures, with higher rates of patients needing to undergo surgical retreatment or go back on drugs. For example, five-year surgical retreatment rates for PUL and water vapor therapy were 13.6% and 4.4%, respectively. In addition, the rates of PUL and water vapor therapy patients back on drug therapy at five years were 10.7% and 11.1%, respectively. Furthermore, since PUL requires the use of a permanent implant, there is risk of post-operative complications due to the implant which may require implant removal, with a published five-year rate of implant removal of 9.3%.</w:t>
      </w:r>
    </w:p>
    <w:p>
      <w:pPr>
        <w:spacing w:after="0" w:line="133" w:lineRule="exact"/>
        <w:rPr>
          <w:rFonts w:ascii="Arial" w:cs="Arial" w:eastAsia="Arial" w:hAnsi="Arial"/>
          <w:sz w:val="17"/>
          <w:szCs w:val="17"/>
          <w:color w:val="auto"/>
        </w:rPr>
      </w:pPr>
    </w:p>
    <w:p>
      <w:pPr>
        <w:ind w:left="620" w:right="760" w:hanging="307"/>
        <w:spacing w:after="0" w:line="279"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Limited intraoperative visualization. </w:t>
      </w:r>
      <w:r>
        <w:rPr>
          <w:rFonts w:ascii="Arial" w:cs="Arial" w:eastAsia="Arial" w:hAnsi="Arial"/>
          <w:sz w:val="17"/>
          <w:szCs w:val="17"/>
          <w:color w:val="auto"/>
        </w:rPr>
        <w:t>Similar to endoscopic resective procedures, the surgeon’s view of the prostate in endoscopic non-resective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is limited to a cystoscope that provides minimal visibility of the prostate.</w:t>
      </w:r>
    </w:p>
    <w:p>
      <w:pPr>
        <w:spacing w:after="0" w:line="112" w:lineRule="exact"/>
        <w:rPr>
          <w:rFonts w:ascii="Arial" w:cs="Arial" w:eastAsia="Arial" w:hAnsi="Arial"/>
          <w:sz w:val="17"/>
          <w:szCs w:val="17"/>
          <w:color w:val="auto"/>
        </w:rPr>
      </w:pPr>
    </w:p>
    <w:p>
      <w:pPr>
        <w:ind w:left="620" w:right="20" w:hanging="307"/>
        <w:spacing w:after="0" w:line="262"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 xml:space="preserve">Prostate size and shape limitations. </w:t>
      </w:r>
      <w:r>
        <w:rPr>
          <w:rFonts w:ascii="Arial" w:cs="Arial" w:eastAsia="Arial" w:hAnsi="Arial"/>
          <w:sz w:val="17"/>
          <w:szCs w:val="17"/>
          <w:color w:val="auto"/>
        </w:rPr>
        <w:t>Both PUL and water vapor therapy are generally used for small- to average-sized prostates. Unlike 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resective procedures, both of these procedures are specifically limited by the FDA for use in certain prostate sizes. The mean prostate volumes for PUL and water vapor therapy were 45 ml and 46 ml, respectively, in their respective U.S. pivotal, prospective, randomized clinical trials. In addition, the use of these procedures may be limited for certain complex prostate shapes.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w:t>
      </w:r>
    </w:p>
    <w:p>
      <w:pPr>
        <w:spacing w:after="0" w:line="171" w:lineRule="exact"/>
        <w:rPr>
          <w:sz w:val="20"/>
          <w:szCs w:val="20"/>
          <w:color w:val="auto"/>
        </w:rPr>
      </w:pPr>
    </w:p>
    <w:p>
      <w:pPr>
        <w:ind w:right="40" w:firstLine="309"/>
        <w:spacing w:after="0" w:line="275" w:lineRule="auto"/>
        <w:rPr>
          <w:sz w:val="20"/>
          <w:szCs w:val="20"/>
          <w:color w:val="auto"/>
        </w:rPr>
      </w:pPr>
      <w:r>
        <w:rPr>
          <w:rFonts w:ascii="Arial" w:cs="Arial" w:eastAsia="Arial" w:hAnsi="Arial"/>
          <w:sz w:val="16"/>
          <w:szCs w:val="16"/>
          <w:color w:val="auto"/>
        </w:rPr>
        <w:t>We have developed the AquaBeam Robotic System, an advanced, image-guided, surgical robotic system for use in minimally invasive urologic surgery. Our proprietary AquaBeam Robotic System delivers our Aquablation therapy, the first and only image-guided robotic therapy for the treatment of BPH. We market the AquaBeam Robotic System in the United States pursuant to FDA 510(k) clearance that we received in March 2021. The most common side effects observed for Aquablation therapy are mild and transient and may include mild pain or difficulty when urinating, discomfort in the pelvis, blood in the urine, inability to empty the bladder or a frequent or urgent need to urinate, and bladder or urinary tract infection. During our clinical studies, we documented a rate of incontinence between 0%-2%, ejaculatory dysfunction between 6.9%-24.6%, and a peri-operative transfusion rate between 0.9%-5.9%. Since then, a number of publications have reported on transfusion rates. A key study published in April 2021 of 2,089 men undergoing Aquablation therapy with prostates ranging in size from 20 ml to 363 ml observed a transfusion rate of only 0.8%.</w: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20" w:firstLine="309"/>
        <w:spacing w:after="0" w:line="312" w:lineRule="auto"/>
        <w:rPr>
          <w:sz w:val="20"/>
          <w:szCs w:val="20"/>
          <w:color w:val="auto"/>
        </w:rPr>
      </w:pPr>
      <w:r>
        <w:rPr>
          <w:rFonts w:ascii="Arial" w:cs="Arial" w:eastAsia="Arial" w:hAnsi="Arial"/>
          <w:sz w:val="16"/>
          <w:szCs w:val="16"/>
          <w:color w:val="auto"/>
        </w:rPr>
        <w:t>The AquaBeam Robotic System combines the following highly differentiated features that are intended to deliver effective, safe and durable outcomes for males suffering from LUTS due to BPH that are consistent across all prostate sizes and shapes and resection independent of surgeon experience:</w:t>
      </w:r>
    </w:p>
    <w:p>
      <w:pPr>
        <w:spacing w:after="0" w:line="89" w:lineRule="exact"/>
        <w:rPr>
          <w:sz w:val="20"/>
          <w:szCs w:val="20"/>
          <w:color w:val="auto"/>
        </w:rPr>
      </w:pPr>
    </w:p>
    <w:p>
      <w:pPr>
        <w:ind w:left="620" w:right="20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Real-time image guidance. </w:t>
      </w:r>
      <w:r>
        <w:rPr>
          <w:rFonts w:ascii="Arial" w:cs="Arial" w:eastAsia="Arial" w:hAnsi="Arial"/>
          <w:sz w:val="17"/>
          <w:szCs w:val="17"/>
          <w:color w:val="auto"/>
        </w:rPr>
        <w:t>Intraoperative ultrasound imaging combined with cystoscopic visualization, which provides a multidimensional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area, enabling improved decision-making and real-time treatment monitoring.</w:t>
      </w:r>
    </w:p>
    <w:p>
      <w:pPr>
        <w:spacing w:after="0" w:line="112" w:lineRule="exact"/>
        <w:rPr>
          <w:rFonts w:ascii="Arial" w:cs="Arial" w:eastAsia="Arial" w:hAnsi="Arial"/>
          <w:sz w:val="17"/>
          <w:szCs w:val="17"/>
          <w:color w:val="auto"/>
        </w:rPr>
      </w:pPr>
    </w:p>
    <w:p>
      <w:pPr>
        <w:ind w:left="620" w:right="560" w:hanging="307"/>
        <w:spacing w:after="0" w:line="349" w:lineRule="auto"/>
        <w:tabs>
          <w:tab w:leader="none" w:pos="616" w:val="left"/>
        </w:tabs>
        <w:numPr>
          <w:ilvl w:val="0"/>
          <w:numId w:val="1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Personalized treatment planning. </w:t>
      </w:r>
      <w:r>
        <w:rPr>
          <w:rFonts w:ascii="Arial" w:cs="Arial" w:eastAsia="Arial" w:hAnsi="Arial"/>
          <w:sz w:val="15"/>
          <w:szCs w:val="15"/>
          <w:color w:val="auto"/>
        </w:rPr>
        <w:t>Using ultrasound imaging integrated with advanced planning software, the surgeon is able to map the treatment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contour that precisely targets the resection area, personalizing the optimal tissue removal plan based on each patient’s unique anatomy.</w:t>
      </w:r>
    </w:p>
    <w:p>
      <w:pPr>
        <w:spacing w:after="0" w:line="65" w:lineRule="exact"/>
        <w:rPr>
          <w:rFonts w:ascii="Arial" w:cs="Arial" w:eastAsia="Arial" w:hAnsi="Arial"/>
          <w:sz w:val="15"/>
          <w:szCs w:val="15"/>
          <w:color w:val="auto"/>
        </w:rPr>
      </w:pPr>
    </w:p>
    <w:p>
      <w:pPr>
        <w:ind w:left="620" w:right="30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Automated robotic execution. </w:t>
      </w:r>
      <w:r>
        <w:rPr>
          <w:rFonts w:ascii="Arial" w:cs="Arial" w:eastAsia="Arial" w:hAnsi="Arial"/>
          <w:sz w:val="17"/>
          <w:szCs w:val="17"/>
          <w:color w:val="auto"/>
        </w:rPr>
        <w:t>Once the treatment plan is finalized, the robot automatically executes the plan, guiding the precisely calibrated waterjet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speed and accuracy while the surgeon monitors.</w:t>
      </w:r>
    </w:p>
    <w:p>
      <w:pPr>
        <w:spacing w:after="0" w:line="112" w:lineRule="exact"/>
        <w:rPr>
          <w:rFonts w:ascii="Arial" w:cs="Arial" w:eastAsia="Arial" w:hAnsi="Arial"/>
          <w:sz w:val="17"/>
          <w:szCs w:val="17"/>
          <w:color w:val="auto"/>
        </w:rPr>
      </w:pPr>
    </w:p>
    <w:p>
      <w:pPr>
        <w:ind w:left="620" w:right="30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Heat-free waterjet resection. </w:t>
      </w:r>
      <w:r>
        <w:rPr>
          <w:rFonts w:ascii="Arial" w:cs="Arial" w:eastAsia="Arial" w:hAnsi="Arial"/>
          <w:sz w:val="17"/>
          <w:szCs w:val="17"/>
          <w:color w:val="auto"/>
        </w:rPr>
        <w:t>Utilizing the unique power of a pulsating waterjet near the speed of sound, Aquablation therapy removes prostatic tissue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a heat-free waterjet, minimizing the risk of complications arising from prolonged thermal injury.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Components of the AquaBeam Robotic System</w:t>
      </w:r>
    </w:p>
    <w:p>
      <w:pPr>
        <w:spacing w:after="0" w:line="165" w:lineRule="exact"/>
        <w:rPr>
          <w:sz w:val="20"/>
          <w:szCs w:val="20"/>
          <w:color w:val="auto"/>
        </w:rPr>
      </w:pPr>
    </w:p>
    <w:p>
      <w:pPr>
        <w:ind w:right="520" w:firstLine="309"/>
        <w:spacing w:after="0" w:line="279" w:lineRule="auto"/>
        <w:rPr>
          <w:sz w:val="20"/>
          <w:szCs w:val="20"/>
          <w:color w:val="auto"/>
        </w:rPr>
      </w:pPr>
      <w:r>
        <w:rPr>
          <w:rFonts w:ascii="Arial" w:cs="Arial" w:eastAsia="Arial" w:hAnsi="Arial"/>
          <w:sz w:val="17"/>
          <w:szCs w:val="17"/>
          <w:color w:val="auto"/>
        </w:rPr>
        <w:t>The AquaBeam Robotic System is highly mobile and compact, requiring no retrofitting of the operating room. The main components of the AquaBeam Robotic System are the conformal planning unit, or CPU, console, motorpack and handpiece with integrated 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2032000</wp:posOffset>
            </wp:positionH>
            <wp:positionV relativeFrom="paragraph">
              <wp:posOffset>79375</wp:posOffset>
            </wp:positionV>
            <wp:extent cx="3274695" cy="2783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74695" cy="278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The CPU serves as the primary user interface of the AquaBeam Robotic System, displaying live transrectal ultrasound, or TRUS, video which allows the surgeon to visualize the prostate and surrounding structures, identify key anatomical markers and personalize the resection based on the patient’s unique anatomy. Through an intuitive user interface, the CPU allows the surgeon to map the contour of the prostate and plan the resection pathway by selecting the resection angles, length and depth. During the procedure, the surgeon utilizes the CPU to observe the progress of the resection in real time and has the option to make adjustments to the treatment area as needed.</w:t>
      </w:r>
    </w:p>
    <w:p>
      <w:pPr>
        <w:spacing w:after="0" w:line="131" w:lineRule="exact"/>
        <w:rPr>
          <w:sz w:val="20"/>
          <w:szCs w:val="20"/>
          <w:color w:val="auto"/>
        </w:rPr>
      </w:pPr>
    </w:p>
    <w:p>
      <w:pPr>
        <w:ind w:right="60" w:firstLine="309"/>
        <w:spacing w:after="0" w:line="266" w:lineRule="auto"/>
        <w:rPr>
          <w:sz w:val="20"/>
          <w:szCs w:val="20"/>
          <w:color w:val="auto"/>
        </w:rPr>
      </w:pPr>
      <w:r>
        <w:rPr>
          <w:rFonts w:ascii="Arial" w:cs="Arial" w:eastAsia="Arial" w:hAnsi="Arial"/>
          <w:sz w:val="17"/>
          <w:szCs w:val="17"/>
          <w:color w:val="auto"/>
        </w:rPr>
        <w:t>The console contains a high-pressure pumping system that is responsible for generating the high-velocity waterjet used in Aquablation therapy. The console interfaces with both the CPU and motorpack and handpiece assembly, generating the water flow rates based on instructions received from the CPU. The console is activated by a foot pedal and has a small screen that displays the pump level and procedure mode.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140" w:firstLine="309"/>
        <w:spacing w:after="0" w:line="266" w:lineRule="auto"/>
        <w:rPr>
          <w:sz w:val="20"/>
          <w:szCs w:val="20"/>
          <w:color w:val="auto"/>
        </w:rPr>
      </w:pPr>
      <w:r>
        <w:rPr>
          <w:rFonts w:ascii="Arial" w:cs="Arial" w:eastAsia="Arial" w:hAnsi="Arial"/>
          <w:sz w:val="17"/>
          <w:szCs w:val="17"/>
          <w:color w:val="auto"/>
        </w:rPr>
        <w:t>The motorpack is connected to the console with a flexible cable that provides power and control instructions to the motorpack. The motorpack consists of a motor control system that drives the movement and position of the waterjet nozzle in the handpiece. The motorpack has buttons that allow a surgeon to manually increase or decrease the pump power level during resection, if needed.</w:t>
      </w:r>
    </w:p>
    <w:p>
      <w:pPr>
        <w:spacing w:after="0" w:line="124"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The handpiece is the sterile, single-use component of the AquaBeam Robotic System that delivers the high-velocity waterjet. The tip of the handpiece is inserted transurethrally into the patient, advanced through the prostatic urethra into the bladder and positioned using both TRUS imaging and cystoscopic guidance from the integrated, reusable scope.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AquaBeam Robotic System also includes a customized ultrasound set through which ultrasound images are integrated with our system.</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Key Benefits of Aquablation Therapy</w:t>
      </w:r>
    </w:p>
    <w:p>
      <w:pPr>
        <w:spacing w:after="0" w:line="243"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color w:val="auto"/>
        </w:rPr>
        <w:t>We believe our Aquablation therapy addresses the compromise between safety and efficacy of alternative surgical interventions, providing the following unique benefits:</w:t>
      </w:r>
    </w:p>
    <w:p>
      <w:pPr>
        <w:spacing w:after="0" w:line="204"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significant and durable symptom relief;</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favorable safety profile compared to other BPH resective procedures;</w:t>
      </w:r>
    </w:p>
    <w:p>
      <w:pPr>
        <w:spacing w:after="0" w:line="12"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outcomes consistent across all prostate sizes and shapes and resection independent of surgeon experience;</w:t>
      </w:r>
    </w:p>
    <w:p>
      <w:pPr>
        <w:spacing w:after="0" w:line="16" w:lineRule="exact"/>
        <w:rPr>
          <w:rFonts w:ascii="Arial" w:cs="Arial" w:eastAsia="Arial" w:hAnsi="Arial"/>
          <w:sz w:val="21"/>
          <w:szCs w:val="21"/>
          <w:color w:val="auto"/>
        </w:rPr>
      </w:pPr>
    </w:p>
    <w:p>
      <w:pPr>
        <w:ind w:left="620" w:hanging="307"/>
        <w:spacing w:after="0"/>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personalized treatment planning and improved decision-making; and</w:t>
      </w:r>
    </w:p>
    <w:p>
      <w:pPr>
        <w:spacing w:after="0" w:line="11" w:lineRule="exact"/>
        <w:rPr>
          <w:rFonts w:ascii="Arial" w:cs="Arial" w:eastAsia="Arial" w:hAnsi="Arial"/>
          <w:sz w:val="21"/>
          <w:szCs w:val="21"/>
          <w:color w:val="auto"/>
        </w:rPr>
      </w:pPr>
    </w:p>
    <w:p>
      <w:pPr>
        <w:ind w:left="620" w:hanging="307"/>
        <w:spacing w:after="0" w:line="231" w:lineRule="auto"/>
        <w:tabs>
          <w:tab w:leader="none" w:pos="620" w:val="left"/>
        </w:tabs>
        <w:numPr>
          <w:ilvl w:val="0"/>
          <w:numId w:val="16"/>
        </w:numPr>
        <w:rPr>
          <w:rFonts w:ascii="Arial" w:cs="Arial" w:eastAsia="Arial" w:hAnsi="Arial"/>
          <w:sz w:val="21"/>
          <w:szCs w:val="21"/>
          <w:color w:val="auto"/>
        </w:rPr>
      </w:pPr>
      <w:r>
        <w:rPr>
          <w:rFonts w:ascii="Arial" w:cs="Arial" w:eastAsia="Arial" w:hAnsi="Arial"/>
          <w:sz w:val="17"/>
          <w:szCs w:val="17"/>
          <w:color w:val="auto"/>
        </w:rPr>
        <w:t>targeted and controlled resection with consistent resection times.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Clinical Results and Studies</w:t>
      </w:r>
    </w:p>
    <w:p>
      <w:pPr>
        <w:spacing w:after="0" w:line="249" w:lineRule="exact"/>
        <w:rPr>
          <w:sz w:val="20"/>
          <w:szCs w:val="20"/>
          <w:color w:val="auto"/>
        </w:rPr>
      </w:pPr>
    </w:p>
    <w:p>
      <w:pPr>
        <w:ind w:right="120" w:firstLine="309"/>
        <w:spacing w:after="0" w:line="290" w:lineRule="auto"/>
        <w:rPr>
          <w:sz w:val="20"/>
          <w:szCs w:val="20"/>
          <w:color w:val="auto"/>
        </w:rPr>
      </w:pPr>
      <w:r>
        <w:rPr>
          <w:rFonts w:ascii="Arial" w:cs="Arial" w:eastAsia="Arial" w:hAnsi="Arial"/>
          <w:sz w:val="16"/>
          <w:szCs w:val="16"/>
          <w:color w:val="auto"/>
        </w:rPr>
        <w:t>A significant body of clinical evidence supports the efficacy, safety and durability of Aquablation therapy across prostate sizes and shapes as well as surgeon experience. This robust body of evidence includes more than 150 peer-reviewed publications in premier journals, such as the Journal of Urology, European Urology and BJU International, as well as nine clinical studies, including our three core studies: WATER, WATER II and OPEN WATER.</w:t>
      </w:r>
    </w:p>
    <w:p>
      <w:pPr>
        <w:spacing w:after="0" w:line="223" w:lineRule="exact"/>
        <w:rPr>
          <w:sz w:val="20"/>
          <w:szCs w:val="20"/>
          <w:color w:val="auto"/>
        </w:rPr>
      </w:pPr>
    </w:p>
    <w:p>
      <w:pPr>
        <w:ind w:left="620" w:hanging="307"/>
        <w:spacing w:after="0" w:line="243" w:lineRule="auto"/>
        <w:tabs>
          <w:tab w:leader="none" w:pos="615" w:val="left"/>
        </w:tabs>
        <w:numPr>
          <w:ilvl w:val="0"/>
          <w:numId w:val="17"/>
        </w:numPr>
        <w:rPr>
          <w:rFonts w:ascii="Arial" w:cs="Arial" w:eastAsia="Arial" w:hAnsi="Arial"/>
          <w:sz w:val="21"/>
          <w:szCs w:val="21"/>
          <w:color w:val="auto"/>
        </w:rPr>
      </w:pPr>
      <w:r>
        <w:rPr>
          <w:rFonts w:ascii="Arial" w:cs="Arial" w:eastAsia="Arial" w:hAnsi="Arial"/>
          <w:sz w:val="17"/>
          <w:szCs w:val="17"/>
          <w:b w:val="1"/>
          <w:bCs w:val="1"/>
          <w:i w:val="1"/>
          <w:iCs w:val="1"/>
          <w:color w:val="auto"/>
        </w:rPr>
        <w:t xml:space="preserve">WATER. </w:t>
      </w:r>
      <w:r>
        <w:rPr>
          <w:rFonts w:ascii="Arial" w:cs="Arial" w:eastAsia="Arial" w:hAnsi="Arial"/>
          <w:sz w:val="17"/>
          <w:szCs w:val="17"/>
          <w:color w:val="auto"/>
        </w:rPr>
        <w:t>The WATER study was double-blind, randomized, controlled study of Aquablation therapy against TURP in men with prostate sizes between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ml and 80 ml. This study is the only FDA pivotal trial for BPH randomized against TURP. The study was designed with 80% power to show superiority in safety and more than 80% power to show non-inferiority in efficacy. The results of our WATER study served as the basis for FDA grant of our De Novo request and were first published in the Journal of Urology in 2018.</w:t>
      </w:r>
    </w:p>
    <w:p>
      <w:pPr>
        <w:spacing w:after="0" w:line="218" w:lineRule="exact"/>
        <w:rPr>
          <w:rFonts w:ascii="Arial" w:cs="Arial" w:eastAsia="Arial" w:hAnsi="Arial"/>
          <w:sz w:val="21"/>
          <w:szCs w:val="21"/>
          <w:color w:val="auto"/>
        </w:rPr>
      </w:pPr>
    </w:p>
    <w:p>
      <w:pPr>
        <w:ind w:left="620" w:right="140" w:hanging="307"/>
        <w:spacing w:after="0" w:line="262" w:lineRule="auto"/>
        <w:tabs>
          <w:tab w:leader="none" w:pos="616" w:val="left"/>
        </w:tabs>
        <w:numPr>
          <w:ilvl w:val="0"/>
          <w:numId w:val="1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WATER II. </w:t>
      </w:r>
      <w:r>
        <w:rPr>
          <w:rFonts w:ascii="Arial" w:cs="Arial" w:eastAsia="Arial" w:hAnsi="Arial"/>
          <w:sz w:val="17"/>
          <w:szCs w:val="17"/>
          <w:color w:val="auto"/>
        </w:rPr>
        <w:t>The WATER II study was a prospective, multicenter study of Aquablation therapy in patients with prostate sizes between 80 ml and 150 ml.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study was designed with 80% power for safety and 99% power for efficacy against an objective performance criteria, or OPC, based upon TURP data, even though TURP procedures are typically performed in smaller prostates. The results of the WATER II study served as the basis for increased reimbursement and coverage and were first published in BJU International in 2019.</w:t>
      </w:r>
    </w:p>
    <w:p>
      <w:pPr>
        <w:spacing w:after="0" w:line="242" w:lineRule="exact"/>
        <w:rPr>
          <w:rFonts w:ascii="Arial" w:cs="Arial" w:eastAsia="Arial" w:hAnsi="Arial"/>
          <w:sz w:val="17"/>
          <w:szCs w:val="17"/>
          <w:b w:val="1"/>
          <w:bCs w:val="1"/>
          <w:i w:val="1"/>
          <w:iCs w:val="1"/>
          <w:color w:val="auto"/>
        </w:rPr>
      </w:pPr>
    </w:p>
    <w:p>
      <w:pPr>
        <w:ind w:left="620" w:right="200" w:hanging="307"/>
        <w:spacing w:after="0" w:line="258" w:lineRule="auto"/>
        <w:tabs>
          <w:tab w:leader="none" w:pos="615" w:val="left"/>
        </w:tabs>
        <w:numPr>
          <w:ilvl w:val="0"/>
          <w:numId w:val="17"/>
        </w:numPr>
        <w:rPr>
          <w:rFonts w:ascii="Arial" w:cs="Arial" w:eastAsia="Arial" w:hAnsi="Arial"/>
          <w:sz w:val="20"/>
          <w:szCs w:val="20"/>
          <w:color w:val="auto"/>
        </w:rPr>
      </w:pPr>
      <w:r>
        <w:rPr>
          <w:rFonts w:ascii="Arial" w:cs="Arial" w:eastAsia="Arial" w:hAnsi="Arial"/>
          <w:sz w:val="16"/>
          <w:szCs w:val="16"/>
          <w:b w:val="1"/>
          <w:bCs w:val="1"/>
          <w:i w:val="1"/>
          <w:iCs w:val="1"/>
          <w:color w:val="auto"/>
        </w:rPr>
        <w:t xml:space="preserve">OPEN WATER. </w:t>
      </w:r>
      <w:r>
        <w:rPr>
          <w:rFonts w:ascii="Arial" w:cs="Arial" w:eastAsia="Arial" w:hAnsi="Arial"/>
          <w:sz w:val="16"/>
          <w:szCs w:val="16"/>
          <w:color w:val="auto"/>
        </w:rPr>
        <w:t>The OPEN WATER study was a prospective, multicenter, all-comer study conducted in a commercial setting spanning patients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prostate sizes between 20 ml and 150 ml. Due to the size of this study, it was sufficiently powered to statistical conclusions with the data. There was no OPC established for this study. The results of the OPEN WATER study were first published in Journal of Clinical Medicine in 2020.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Activities in the United States</w:t>
      </w:r>
    </w:p>
    <w:p>
      <w:pPr>
        <w:spacing w:after="0" w:line="230" w:lineRule="exact"/>
        <w:rPr>
          <w:sz w:val="20"/>
          <w:szCs w:val="20"/>
          <w:color w:val="auto"/>
        </w:rPr>
      </w:pPr>
    </w:p>
    <w:p>
      <w:pPr>
        <w:ind w:right="180" w:firstLine="309"/>
        <w:spacing w:after="0" w:line="266" w:lineRule="auto"/>
        <w:rPr>
          <w:sz w:val="20"/>
          <w:szCs w:val="20"/>
          <w:color w:val="auto"/>
        </w:rPr>
      </w:pPr>
      <w:r>
        <w:rPr>
          <w:rFonts w:ascii="Arial" w:cs="Arial" w:eastAsia="Arial" w:hAnsi="Arial"/>
          <w:sz w:val="16"/>
          <w:szCs w:val="16"/>
          <w:color w:val="auto"/>
        </w:rPr>
        <w:t>We designed our commercial strategy and built our direct sales team to target primarily urologists across the United States, who we believe represent the primary physician specialty managing the care of patients with BPH. We estimate that there are approximately 12,000 urologists who manage approximately 4.3 million BPH patients, comprised of 400,000 undergoing BPH surgery annually, 3.3 million who are on drug therapy and 600,000 who have tried but failed drug therapy. We are first focused on driving adoption of Aquablation therapy among urologists who perform hospital-based</w:t>
      </w: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BPH resective surgery. We estimate that approximately 290,000 of the 400,000 annual BPH surgeries are resective procedures performed across approximately 2,700 hospitals. We are initially targeting 860 high-volume hospitals that perform, on average, more than 200 resective procedures annually and account for approximately 70% of all hospital-based resective procedures. Additionally, there are approximately 1,840 U.S. hospitals that perform the remaining 30% of resective BPH procedures we are also targeting Within each hospital, we are focused on targeting urologists who perform medium-to-high volumes of resective procedures and converting their resective cases to Aquablation therapy. As urologists gain experience with Aquablation therapy, we will leverage their experiences to capture more surgical volumes and establish Aquablation therapy as the surgical standard of care. We also intend to leverage our relationships with urologists to drive utilization of Aquablation therapy beyond the current surgical market.</w:t>
      </w:r>
    </w:p>
    <w:p>
      <w:pPr>
        <w:spacing w:after="0" w:line="118" w:lineRule="exact"/>
        <w:rPr>
          <w:sz w:val="20"/>
          <w:szCs w:val="20"/>
          <w:color w:val="auto"/>
        </w:rPr>
      </w:pPr>
    </w:p>
    <w:p>
      <w:pPr>
        <w:ind w:right="120" w:firstLine="309"/>
        <w:spacing w:after="0" w:line="307" w:lineRule="auto"/>
        <w:rPr>
          <w:sz w:val="20"/>
          <w:szCs w:val="20"/>
          <w:color w:val="auto"/>
        </w:rPr>
      </w:pPr>
      <w:r>
        <w:rPr>
          <w:rFonts w:ascii="Arial" w:cs="Arial" w:eastAsia="Arial" w:hAnsi="Arial"/>
          <w:sz w:val="15"/>
          <w:szCs w:val="15"/>
          <w:color w:val="auto"/>
        </w:rPr>
        <w:t>Our direct sales organization actively engages with providers to drive awareness, adoption and utilization of our Aquablation therapy. This team is supported by clinical specialists and professional education employees, who are responsible for training and supporting surgeons, reimbursement specialists, who are responsible for customer and physician education on coding, coverage and payment, and field service employees, who provide preventative maintenance and support for our customers. We intend to expand the size of our direct sales organization to support our efforts for adoption and utilization of Aquablation therapy.</w:t>
      </w:r>
    </w:p>
    <w:p>
      <w:pPr>
        <w:spacing w:after="0" w:line="97" w:lineRule="exact"/>
        <w:rPr>
          <w:sz w:val="20"/>
          <w:szCs w:val="20"/>
          <w:color w:val="auto"/>
        </w:rPr>
      </w:pPr>
    </w:p>
    <w:p>
      <w:pPr>
        <w:ind w:firstLine="309"/>
        <w:spacing w:after="0" w:line="294" w:lineRule="auto"/>
        <w:rPr>
          <w:sz w:val="20"/>
          <w:szCs w:val="20"/>
          <w:color w:val="auto"/>
        </w:rPr>
      </w:pPr>
      <w:r>
        <w:rPr>
          <w:rFonts w:ascii="Arial" w:cs="Arial" w:eastAsia="Arial" w:hAnsi="Arial"/>
          <w:sz w:val="15"/>
          <w:szCs w:val="15"/>
          <w:color w:val="auto"/>
        </w:rPr>
        <w:t>In addition to our direct sales efforts, we support our sales organization with marketing and market development initiatives. We plan to continue to expand and enhance our marketing capabilities to support our growing commercial organization and customer base. Our near-term marketing efforts center principally on increasing awareness and driving adoption of Aquablation therapy among urologists by continuing to publish clinical data in various industry and scientific journals, present our clinical data at various industry conferences, expand our network of KOLs and sponsor peer-to-peer education programs and proctorships. We believe these initiatives will further deepen our relationships with urologists and key medical societies, contributing to our goal of Aquablation therapy becoming the surgical standard of care for BPH surgery. Longer-term, as we expand our network of urologists and grow our installed base, we intend to increase awareness and brand recognition of Aquablation therapy beyond urologists, primarily among primary care physicians who manage BPH patients. To achieve this objective, we will invest in marketing initiatives directed at primary care physicians in order to expand networks for BPH patients to visit a urologist. Once we have established a broader installed base of systems, we may seek to further increase patient awareness through various direct-to-patient marketing initiatives.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Activities Outside of the United States</w:t>
      </w:r>
    </w:p>
    <w:p>
      <w:pPr>
        <w:spacing w:after="0" w:line="165" w:lineRule="exact"/>
        <w:rPr>
          <w:sz w:val="20"/>
          <w:szCs w:val="20"/>
          <w:color w:val="auto"/>
        </w:rPr>
      </w:pPr>
    </w:p>
    <w:p>
      <w:pPr>
        <w:ind w:right="60" w:firstLine="309"/>
        <w:spacing w:after="0" w:line="266" w:lineRule="auto"/>
        <w:rPr>
          <w:sz w:val="20"/>
          <w:szCs w:val="20"/>
          <w:color w:val="auto"/>
        </w:rPr>
      </w:pPr>
      <w:r>
        <w:rPr>
          <w:rFonts w:ascii="Arial" w:cs="Arial" w:eastAsia="Arial" w:hAnsi="Arial"/>
          <w:sz w:val="17"/>
          <w:szCs w:val="17"/>
          <w:color w:val="auto"/>
        </w:rPr>
        <w:t>Our commercialization strategy outside the United States is focused on large addressable markets through a broad range of market development activities, including increasing awareness, obtaining regulatory approvals and establishing reimbursement. We sell our products using both our direct sales organization and, in certain regions, our network of distribution partners.</w:t>
      </w:r>
    </w:p>
    <w:p>
      <w:pPr>
        <w:spacing w:after="0" w:line="124" w:lineRule="exact"/>
        <w:rPr>
          <w:sz w:val="20"/>
          <w:szCs w:val="20"/>
          <w:color w:val="auto"/>
        </w:rPr>
      </w:pPr>
    </w:p>
    <w:p>
      <w:pPr>
        <w:ind w:right="60" w:firstLine="309"/>
        <w:spacing w:after="0" w:line="257" w:lineRule="auto"/>
        <w:rPr>
          <w:sz w:val="20"/>
          <w:szCs w:val="20"/>
          <w:color w:val="auto"/>
        </w:rPr>
      </w:pPr>
      <w:r>
        <w:rPr>
          <w:rFonts w:ascii="Arial" w:cs="Arial" w:eastAsia="Arial" w:hAnsi="Arial"/>
          <w:sz w:val="17"/>
          <w:szCs w:val="17"/>
          <w:color w:val="auto"/>
        </w:rPr>
        <w:t>In EMEA, our direct sales organization is currently primarily focused on Germany, France, the United Kingdom, Switzerland and Austria. In other countries, such as Italy, Spain, Portugal, Israel, and South Korea, we engage distribution partners to assist us with market development and sales activities. As of December 31, 2022, we employed 16 personnel to support sales and marketing activities in EMEA. We will opportunistically choose distribution partners with clinical and marketing expertise to enter new markets. We are focused on distribution partners that have the capability to assist with surgeon training and, when required, obtaining regulatory approvals. In the Asia-Pacific region, we are focused on obtaining local regulatory clearances with the assistance of our distribution partners in this region. We have regulatory approval in Hong Kong, where we are engaged with a distribution partner for market development activities. We also have regulatory approval in Japan, and are currently evaluating our commercial strategy while conducting a post market survey as a condition to our regulatory approval.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Reimbursement</w:t>
      </w:r>
    </w:p>
    <w:p>
      <w:pPr>
        <w:spacing w:after="0" w:line="171" w:lineRule="exact"/>
        <w:rPr>
          <w:sz w:val="20"/>
          <w:szCs w:val="20"/>
          <w:color w:val="auto"/>
        </w:rPr>
      </w:pPr>
    </w:p>
    <w:p>
      <w:pPr>
        <w:ind w:right="80" w:firstLine="309"/>
        <w:spacing w:after="0" w:line="262" w:lineRule="auto"/>
        <w:rPr>
          <w:sz w:val="20"/>
          <w:szCs w:val="20"/>
          <w:color w:val="auto"/>
        </w:rPr>
      </w:pPr>
      <w:r>
        <w:rPr>
          <w:rFonts w:ascii="Arial" w:cs="Arial" w:eastAsia="Arial" w:hAnsi="Arial"/>
          <w:sz w:val="17"/>
          <w:szCs w:val="17"/>
          <w:color w:val="auto"/>
        </w:rPr>
        <w:t>In the United States, we sell our products to hospitals. These customers in turn bill various third-party payors, such as commercial payors and government agencies, for reimbursement for the procedures using our products. Our market access team includes five professionals who are focused on all key aspects of reimbursement, which include securing appropriate coding, payment and coverage policies for our products and procedures using our products. This team focuses both on payer engagement as well as providing support to the providers.</w:t>
      </w:r>
    </w:p>
    <w:p>
      <w:pPr>
        <w:spacing w:after="0" w:line="126" w:lineRule="exact"/>
        <w:rPr>
          <w:sz w:val="20"/>
          <w:szCs w:val="20"/>
          <w:color w:val="auto"/>
        </w:rPr>
      </w:pPr>
    </w:p>
    <w:p>
      <w:pPr>
        <w:ind w:right="180" w:firstLine="309"/>
        <w:spacing w:after="0" w:line="279" w:lineRule="auto"/>
        <w:rPr>
          <w:sz w:val="20"/>
          <w:szCs w:val="20"/>
          <w:color w:val="auto"/>
        </w:rPr>
      </w:pPr>
      <w:r>
        <w:rPr>
          <w:rFonts w:ascii="Arial" w:cs="Arial" w:eastAsia="Arial" w:hAnsi="Arial"/>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13"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covered benefit;</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supported by guidelines established by the relevant professional societies;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65" w:lineRule="exact"/>
        <w:rPr>
          <w:sz w:val="20"/>
          <w:szCs w:val="20"/>
          <w:color w:val="auto"/>
        </w:rPr>
      </w:pPr>
    </w:p>
    <w:p>
      <w:pPr>
        <w:ind w:right="40" w:firstLine="309"/>
        <w:spacing w:after="0" w:line="283"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exists among third-party payors. Therefore, coverage and reimbursement for procedures can differ significantly from payor to payor. Obtaining coverage and reimbursement can be a time-consuming process that could require supporting scientific, clinical and cost-effectiveness data.</w:t>
      </w:r>
    </w:p>
    <w:p>
      <w:pPr>
        <w:spacing w:after="0" w:line="112"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Payors continually review new and existing technologies for possible coverage and can, without notice, deny or reverse coverage for new or existing products and procedures. Further, future coverage and reimbursement may be subject to increased restrictions, such as additional prior authorization requirements, both in the United States and in international markets. In addition, Medicare Administrative Contractors could issue a local coverage determination decision that could restrict the patients eligible for a treatment with our products. Third-party coverage and reimbursement may not be available or adequate in either the United States or international markets. Further, other BPH treatments may be more widely covered or subject to different co-pay policies and requirements, which could impact demand for our products.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Coding and Payment</w:t>
      </w:r>
    </w:p>
    <w:p>
      <w:pPr>
        <w:spacing w:after="0" w:line="165" w:lineRule="exact"/>
        <w:rPr>
          <w:sz w:val="20"/>
          <w:szCs w:val="20"/>
          <w:color w:val="auto"/>
        </w:rPr>
      </w:pPr>
    </w:p>
    <w:p>
      <w:pPr>
        <w:ind w:right="40" w:firstLine="309"/>
        <w:spacing w:after="0" w:line="262" w:lineRule="auto"/>
        <w:rPr>
          <w:sz w:val="20"/>
          <w:szCs w:val="20"/>
          <w:color w:val="auto"/>
        </w:rPr>
      </w:pPr>
      <w:r>
        <w:rPr>
          <w:rFonts w:ascii="Arial" w:cs="Arial" w:eastAsia="Arial" w:hAnsi="Arial"/>
          <w:sz w:val="17"/>
          <w:szCs w:val="17"/>
          <w:color w:val="auto"/>
        </w:rPr>
        <w:t>Third-party payors require physicians and hospitals to identify the service for which they are seeking reimbursement by using Current Procedural Terminology, or CPT, codes, which are created and maintained by the American Medical Association, or AMA. The surgical treatment of BPH using Aquablation therapy is described by CPT code 0421T, which is the code describing transurethral waterjet ablation of the prostate, a Category III code published by the AMA in January 2017. In February 2021, the AMA approved an extension for CPT code 0421T through December 31, 2026.</w:t>
      </w:r>
    </w:p>
    <w:p>
      <w:pPr>
        <w:spacing w:after="0" w:line="126" w:lineRule="exact"/>
        <w:rPr>
          <w:sz w:val="20"/>
          <w:szCs w:val="20"/>
          <w:color w:val="auto"/>
        </w:rPr>
      </w:pPr>
    </w:p>
    <w:p>
      <w:pPr>
        <w:ind w:right="200" w:firstLine="309"/>
        <w:spacing w:after="0" w:line="290" w:lineRule="auto"/>
        <w:rPr>
          <w:sz w:val="20"/>
          <w:szCs w:val="20"/>
          <w:color w:val="auto"/>
        </w:rPr>
      </w:pPr>
      <w:r>
        <w:rPr>
          <w:rFonts w:ascii="Arial" w:cs="Arial" w:eastAsia="Arial" w:hAnsi="Arial"/>
          <w:sz w:val="16"/>
          <w:szCs w:val="16"/>
          <w:color w:val="auto"/>
        </w:rPr>
        <w:t>Physician reimbursement under Medicare generally is based on a defined fee schedule, the Medicare Physician Fee Schedule, through which payment amounts are determined by the relative values of the professional service rendered. Physician payment rates for Category III codes are determined by the MACs and vary from jurisdiction to jurisdiction. The payment to the surgeon using CPT code 0421T is currently similar to that for a TURP procedure.</w:t>
      </w:r>
    </w:p>
    <w:p>
      <w:pPr>
        <w:spacing w:after="0" w:line="107" w:lineRule="exact"/>
        <w:rPr>
          <w:sz w:val="20"/>
          <w:szCs w:val="20"/>
          <w:color w:val="auto"/>
        </w:rPr>
      </w:pPr>
    </w:p>
    <w:p>
      <w:pPr>
        <w:jc w:val="both"/>
        <w:ind w:right="60" w:firstLine="309"/>
        <w:spacing w:after="0" w:line="292" w:lineRule="auto"/>
        <w:rPr>
          <w:sz w:val="20"/>
          <w:szCs w:val="20"/>
          <w:color w:val="auto"/>
        </w:rPr>
      </w:pPr>
      <w:r>
        <w:rPr>
          <w:rFonts w:ascii="Arial" w:cs="Arial" w:eastAsia="Arial" w:hAnsi="Arial"/>
          <w:sz w:val="15"/>
          <w:szCs w:val="15"/>
          <w:color w:val="auto"/>
        </w:rPr>
        <w:t>In addition to payment to the surgeon for professional services, Medicare provides reimbursement to our hospital customers for procedures under the hospital outpatient prospective payment system, or HOPPS, and inpatient prospective payment system, or IPPS. The HOPPS and IPPS provide bundled amounts generally intended to reimburse the hospital for all facility costs related to procedures performed in the hospital outpatient setting and inpatient setting, respectively.</w:t>
      </w:r>
    </w:p>
    <w:p>
      <w:pPr>
        <w:ind w:right="420"/>
        <w:spacing w:after="0" w:line="266" w:lineRule="auto"/>
        <w:rPr>
          <w:sz w:val="20"/>
          <w:szCs w:val="20"/>
          <w:color w:val="auto"/>
        </w:rPr>
      </w:pPr>
      <w:r>
        <w:rPr>
          <w:rFonts w:ascii="Arial" w:cs="Arial" w:eastAsia="Arial" w:hAnsi="Arial"/>
          <w:sz w:val="17"/>
          <w:szCs w:val="17"/>
          <w:color w:val="auto"/>
        </w:rPr>
        <w:t>Medicare also provides reimbursement for procedures performed in ASCs. Reimbursement rates from commercial payors vary depending on the commercial payor, contract terms, and other factors.</w:t>
      </w:r>
    </w:p>
    <w:p>
      <w:pPr>
        <w:spacing w:after="0" w:line="123" w:lineRule="exact"/>
        <w:rPr>
          <w:sz w:val="20"/>
          <w:szCs w:val="20"/>
          <w:color w:val="auto"/>
        </w:rPr>
      </w:pPr>
    </w:p>
    <w:p>
      <w:pPr>
        <w:ind w:right="140" w:firstLine="309"/>
        <w:spacing w:after="0" w:line="262" w:lineRule="auto"/>
        <w:rPr>
          <w:sz w:val="20"/>
          <w:szCs w:val="20"/>
          <w:color w:val="auto"/>
        </w:rPr>
      </w:pPr>
      <w:r>
        <w:rPr>
          <w:rFonts w:ascii="Arial" w:cs="Arial" w:eastAsia="Arial" w:hAnsi="Arial"/>
          <w:sz w:val="17"/>
          <w:szCs w:val="17"/>
          <w:color w:val="auto"/>
        </w:rPr>
        <w:t>As part of the 2020 Outpatient Prospective Payment System ruling, the CMS granted approval for a transitional pass-through, or TPT, payment for Aquablation therapy. TPT status is intended to encourage the use of newly FDA-approved medical devices, drugs, and biologics across all fields of medicine and to boost Medicare patients’ access to these innovative therapies by temporarily paying more than established facility fees. The TPT payment for Aquablation therapy has been extended through December 31, 2023.</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Payor and Government Program Coverage</w:t>
      </w:r>
    </w:p>
    <w:p>
      <w:pPr>
        <w:spacing w:after="0" w:line="165"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A core pillar of our reimbursement strategy involves broadening our third-party payor coverage. We continue to have active discussions with commercial payors to establish positive national coverage policies by highlighting our compelling and robust clinical data, increased patient demand and support from leading medical societies and key opinion leaders.</w:t>
      </w:r>
    </w:p>
    <w:p>
      <w:pPr>
        <w:spacing w:after="0" w:line="124" w:lineRule="exact"/>
        <w:rPr>
          <w:sz w:val="20"/>
          <w:szCs w:val="20"/>
          <w:color w:val="auto"/>
        </w:rPr>
      </w:pPr>
    </w:p>
    <w:p>
      <w:pPr>
        <w:ind w:right="420" w:firstLine="309"/>
        <w:spacing w:after="0" w:line="312" w:lineRule="auto"/>
        <w:rPr>
          <w:sz w:val="20"/>
          <w:szCs w:val="20"/>
          <w:color w:val="auto"/>
        </w:rPr>
      </w:pPr>
      <w:r>
        <w:rPr>
          <w:rFonts w:ascii="Arial" w:cs="Arial" w:eastAsia="Arial" w:hAnsi="Arial"/>
          <w:sz w:val="16"/>
          <w:szCs w:val="16"/>
          <w:color w:val="auto"/>
        </w:rPr>
        <w:t>As of December 27, 2020, all MACs cover procedures involving Aquablation therapy are covered for Medicare patients (including Medicare Advantage plans). We believe Medicare accounts for approximately 50% of all hospital-based resective BPH procedures performed in the United States.</w:t>
      </w: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Prior Authorization Approval Process</w:t>
      </w:r>
    </w:p>
    <w:p>
      <w:pPr>
        <w:spacing w:after="0" w:line="165" w:lineRule="exact"/>
        <w:rPr>
          <w:sz w:val="20"/>
          <w:szCs w:val="20"/>
          <w:color w:val="auto"/>
        </w:rPr>
      </w:pPr>
    </w:p>
    <w:p>
      <w:pPr>
        <w:ind w:right="240" w:firstLine="309"/>
        <w:spacing w:after="0" w:line="349" w:lineRule="auto"/>
        <w:rPr>
          <w:sz w:val="20"/>
          <w:szCs w:val="20"/>
          <w:color w:val="auto"/>
        </w:rPr>
      </w:pPr>
      <w:r>
        <w:rPr>
          <w:rFonts w:ascii="Arial" w:cs="Arial" w:eastAsia="Arial" w:hAnsi="Arial"/>
          <w:sz w:val="15"/>
          <w:szCs w:val="15"/>
          <w:color w:val="auto"/>
        </w:rPr>
        <w:t>For certain customers, our reimbursement strategy includes leveraging our market access team as advisors when needed to support in obtaining appropriate prior authorization approvals in advance of treatment. We believe we are highly effective in providing guidance to obtain prior authorizations when needed.</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Reimbursement Outside of the United States</w:t>
      </w:r>
    </w:p>
    <w:p>
      <w:pPr>
        <w:spacing w:after="0" w:line="28"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Outside of the United States, reimbursement levels vary significantly by country, and within some countries by region, as well as by payor type. Reimbursement is obtained from a variety of sources, including government sponsors, hospital budgets or private health insurance plans, or combinations thereof. Obtaining reimbursement is a key part of our market development strategy outside of the United States. We currently have established reimbursement in Germany, the United Kingdom, and France. Spain and Italy are continuing to establish new, as well as more favorable, reimbursement. Additionally, following Japanese regulatory</w:t>
      </w:r>
    </w:p>
    <w:p>
      <w:pPr>
        <w:spacing w:after="0"/>
        <w:rPr>
          <w:sz w:val="20"/>
          <w:szCs w:val="20"/>
          <w:color w:val="auto"/>
        </w:rPr>
      </w:pPr>
      <w:r>
        <w:rPr>
          <w:rFonts w:ascii="Arial" w:cs="Arial" w:eastAsia="Arial" w:hAnsi="Arial"/>
          <w:sz w:val="17"/>
          <w:szCs w:val="17"/>
          <w:color w:val="auto"/>
        </w:rPr>
        <w:t>approval, we are currently conducting a post market survey as a condition to our regulatory approval</w:t>
      </w:r>
      <w:r>
        <w:rPr>
          <w:rFonts w:ascii="Arial" w:cs="Arial" w:eastAsia="Arial" w:hAnsi="Arial"/>
          <w:sz w:val="20"/>
          <w:szCs w:val="20"/>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71" w:lineRule="exact"/>
        <w:rPr>
          <w:sz w:val="20"/>
          <w:szCs w:val="20"/>
          <w:color w:val="auto"/>
        </w:rPr>
      </w:pPr>
    </w:p>
    <w:p>
      <w:pPr>
        <w:ind w:right="120" w:firstLine="309"/>
        <w:spacing w:after="0" w:line="266" w:lineRule="auto"/>
        <w:rPr>
          <w:sz w:val="20"/>
          <w:szCs w:val="20"/>
          <w:color w:val="auto"/>
        </w:rPr>
      </w:pPr>
      <w:r>
        <w:rPr>
          <w:rFonts w:ascii="Arial" w:cs="Arial" w:eastAsia="Arial" w:hAnsi="Arial"/>
          <w:sz w:val="17"/>
          <w:szCs w:val="17"/>
          <w:color w:val="auto"/>
        </w:rPr>
        <w:t>We have established a dedicated research and development team with strong capabilities in surgical robotics and imaging-enabled surgery as well as integrating hardware and software to create an exceptional user and patient experience. We believe our focus on this experience will allow us to continue to bring new upgrades, capabilities and products to market, allowing us to innovate and maintain our competitive positioning.</w:t>
      </w:r>
    </w:p>
    <w:p>
      <w:pPr>
        <w:spacing w:after="0" w:line="124" w:lineRule="exact"/>
        <w:rPr>
          <w:sz w:val="20"/>
          <w:szCs w:val="20"/>
          <w:color w:val="auto"/>
        </w:rPr>
      </w:pPr>
    </w:p>
    <w:p>
      <w:pPr>
        <w:ind w:right="160" w:firstLine="309"/>
        <w:spacing w:after="0" w:line="283" w:lineRule="auto"/>
        <w:rPr>
          <w:sz w:val="20"/>
          <w:szCs w:val="20"/>
          <w:color w:val="auto"/>
        </w:rPr>
      </w:pPr>
      <w:r>
        <w:rPr>
          <w:rFonts w:ascii="Arial" w:cs="Arial" w:eastAsia="Arial" w:hAnsi="Arial"/>
          <w:sz w:val="16"/>
          <w:szCs w:val="16"/>
          <w:color w:val="auto"/>
        </w:rPr>
        <w:t>To improve customer experience, we are continually innovating our 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enable artificial intelligence assisted anatomy recognition and improved treatment planning and personalization. In the future, we may evaluate the application of the AquaBeam Robotic System in new urologic conditions beyond BPH.</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w:t>
      </w:r>
    </w:p>
    <w:p>
      <w:pPr>
        <w:spacing w:after="0" w:line="171" w:lineRule="exact"/>
        <w:rPr>
          <w:sz w:val="20"/>
          <w:szCs w:val="20"/>
          <w:color w:val="auto"/>
        </w:rPr>
      </w:pPr>
    </w:p>
    <w:p>
      <w:pPr>
        <w:ind w:right="20" w:firstLine="309"/>
        <w:spacing w:after="0" w:line="293" w:lineRule="auto"/>
        <w:rPr>
          <w:sz w:val="20"/>
          <w:szCs w:val="20"/>
          <w:color w:val="auto"/>
        </w:rPr>
      </w:pPr>
      <w:r>
        <w:rPr>
          <w:rFonts w:ascii="Arial" w:cs="Arial" w:eastAsia="Arial" w:hAnsi="Arial"/>
          <w:sz w:val="15"/>
          <w:szCs w:val="15"/>
          <w:color w:val="auto"/>
        </w:rPr>
        <w:t>We directly manufacture the AquaBeam Robotic System, the handpiece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probes. We utilize a well-known third-party logistics provider located in United States and the Netherlands to ship our products to our customers globally. We rely on third-party suppliers, almost all of whom are single source suppliers, to provide us with certain components, sub-assemblies and materials for our products. Currently our principal suppliers include Shantou Institute of Ultrasonic Instruments Co. Ltd. (which manufactures our transrectal ultrasound set), Myriad Fiber Imaging Tech., Inc. (which manufactures our integrated scope), HydroCision, Inc. (which manufactures our pump cartridge), and Medical Targeting Technologies GmbH (which manufactures our articulating arms). Our suppliers manufacture the components they produce for us and test our components and devices to our specifications. We have entered into manufacturing and supply agreements with several of our single-source suppliers pursuant to which they supply the components we need. In addition, we intend to maintain sufficient levels of inventory to enable us to continue our operations while we obtain another supplier in the event that one or more of our single-source suppliers were to encounter a delay in supply or end supply.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71" w:lineRule="exact"/>
        <w:rPr>
          <w:sz w:val="20"/>
          <w:szCs w:val="20"/>
          <w:color w:val="auto"/>
        </w:rPr>
      </w:pPr>
    </w:p>
    <w:p>
      <w:pPr>
        <w:ind w:right="280" w:firstLine="309"/>
        <w:spacing w:after="0" w:line="290" w:lineRule="auto"/>
        <w:rPr>
          <w:sz w:val="20"/>
          <w:szCs w:val="20"/>
          <w:color w:val="auto"/>
        </w:rPr>
      </w:pPr>
      <w:r>
        <w:rPr>
          <w:rFonts w:ascii="Arial" w:cs="Arial" w:eastAsia="Arial" w:hAnsi="Arial"/>
          <w:sz w:val="16"/>
          <w:szCs w:val="16"/>
          <w:color w:val="auto"/>
        </w:rPr>
        <w:t>The industry in which we operate is subject to rapid change from the introduction of new products and technologies and other activities of industry participants. While we believe Aquablation therapy and the AquaBeam Robotic System provide us with a competitive advantage against other competing BPH treatment modalities, our currently marketed products are, and any future products we commercialize will be, subject to intense competition.</w:t>
      </w:r>
    </w:p>
    <w:p>
      <w:pPr>
        <w:spacing w:after="0" w:line="107" w:lineRule="exact"/>
        <w:rPr>
          <w:sz w:val="20"/>
          <w:szCs w:val="20"/>
          <w:color w:val="auto"/>
        </w:rPr>
      </w:pPr>
    </w:p>
    <w:p>
      <w:pPr>
        <w:ind w:right="20" w:firstLine="309"/>
        <w:spacing w:after="0" w:line="259" w:lineRule="auto"/>
        <w:rPr>
          <w:sz w:val="20"/>
          <w:szCs w:val="20"/>
          <w:color w:val="auto"/>
        </w:rPr>
      </w:pPr>
      <w:r>
        <w:rPr>
          <w:rFonts w:ascii="Arial" w:cs="Arial" w:eastAsia="Arial" w:hAnsi="Arial"/>
          <w:sz w:val="17"/>
          <w:szCs w:val="17"/>
          <w:color w:val="auto"/>
        </w:rPr>
        <w:t>Certain of our current and potential competitors may have significantly greater financial, technical, marketing and other resources than we do and may be able to devote greater resources to the development, regulatory approval, promotion, sale and support of their products. Our competitors may also have more extensive customer bases and broader customer relationships than we do, including relationships with our potential customers. In addition, many of these companies have longer operating histories and greater brand recognition than we do. Additionally, many of these companies have overcome reimbursement barriers and their procedures are covered by nearly all major insurance carriers.</w:t>
      </w:r>
    </w:p>
    <w:p>
      <w:pPr>
        <w:spacing w:after="0" w:line="200" w:lineRule="exact"/>
        <w:rPr>
          <w:sz w:val="20"/>
          <w:szCs w:val="20"/>
          <w:color w:val="auto"/>
        </w:rPr>
      </w:pPr>
    </w:p>
    <w:p>
      <w:pPr>
        <w:spacing w:after="0" w:line="34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Because of the size of the BPH market, we anticipate that companies will dedicate significant resources to developing competing products.</w:t>
      </w:r>
    </w:p>
    <w:p>
      <w:pPr>
        <w:spacing w:after="0" w:line="165" w:lineRule="exact"/>
        <w:rPr>
          <w:sz w:val="20"/>
          <w:szCs w:val="20"/>
          <w:color w:val="auto"/>
        </w:rPr>
      </w:pPr>
    </w:p>
    <w:p>
      <w:pPr>
        <w:ind w:right="160" w:firstLine="309"/>
        <w:spacing w:after="0" w:line="262" w:lineRule="auto"/>
        <w:rPr>
          <w:sz w:val="20"/>
          <w:szCs w:val="20"/>
          <w:color w:val="auto"/>
        </w:rPr>
      </w:pPr>
      <w:r>
        <w:rPr>
          <w:rFonts w:ascii="Arial" w:cs="Arial" w:eastAsia="Arial" w:hAnsi="Arial"/>
          <w:sz w:val="17"/>
          <w:szCs w:val="17"/>
          <w:color w:val="auto"/>
        </w:rPr>
        <w:t>We consider our primary competition to be resective surgical treatments. These include among others, those manufacturers producing devices for the TURP procedure and laser-based therapies marketed by Boston Scientific Corporation. We also believe we will eventually compete with non-resective and non-surgical treatments. The non-resective treatments include, among others, UroLift marketed by Teleflex Incorporated and Rezum marketed by Boston Scientific Corporation. Non-surgical treatments for BPH are primarily pharmaceuticals.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believe that the primary basis on which we compete include:</w:t>
      </w:r>
    </w:p>
    <w:p>
      <w:pPr>
        <w:spacing w:after="0" w:line="165" w:lineRule="exact"/>
        <w:rPr>
          <w:sz w:val="20"/>
          <w:szCs w:val="20"/>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improved outcomes for patients;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safety, efficacy, reliability and durability;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quality and volume of clinical data;</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 marketing to and education of patients, physicians and hospitals;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company, product and brand recognition;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sales force experience and access;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product support and service;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technological innovation, product enhancements and speed of innovation;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pricing and revenue strategies;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effectiveness of reimbursement teams and strategies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regulatory status and speed to market;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dedicated clinical representatives.</w:t>
      </w:r>
    </w:p>
    <w:p>
      <w:pPr>
        <w:spacing w:after="0" w:line="165" w:lineRule="exact"/>
        <w:rPr>
          <w:sz w:val="20"/>
          <w:szCs w:val="20"/>
          <w:color w:val="auto"/>
        </w:rPr>
      </w:pPr>
    </w:p>
    <w:p>
      <w:pPr>
        <w:ind w:right="1860" w:firstLine="309"/>
        <w:spacing w:after="0" w:line="443" w:lineRule="auto"/>
        <w:rPr>
          <w:sz w:val="20"/>
          <w:szCs w:val="20"/>
          <w:color w:val="auto"/>
        </w:rPr>
      </w:pPr>
      <w:r>
        <w:rPr>
          <w:rFonts w:ascii="Arial" w:cs="Arial" w:eastAsia="Arial" w:hAnsi="Arial"/>
          <w:sz w:val="17"/>
          <w:szCs w:val="17"/>
          <w:color w:val="auto"/>
        </w:rPr>
        <w:t xml:space="preserve">We cannot assure you that we will be able to compete effectively against our competitors in regard to any one or all of these factors. </w:t>
      </w:r>
      <w:r>
        <w:rPr>
          <w:rFonts w:ascii="Arial" w:cs="Arial" w:eastAsia="Arial" w:hAnsi="Arial"/>
          <w:sz w:val="17"/>
          <w:szCs w:val="17"/>
          <w:b w:val="1"/>
          <w:bCs w:val="1"/>
          <w:color w:val="auto"/>
        </w:rPr>
        <w:t>Intellectual Property</w:t>
      </w:r>
    </w:p>
    <w:p>
      <w:pPr>
        <w:ind w:right="580" w:firstLine="309"/>
        <w:spacing w:after="0" w:line="279" w:lineRule="auto"/>
        <w:rPr>
          <w:sz w:val="20"/>
          <w:szCs w:val="20"/>
          <w:color w:val="auto"/>
        </w:rPr>
      </w:pPr>
      <w:r>
        <w:rPr>
          <w:rFonts w:ascii="Arial" w:cs="Arial" w:eastAsia="Arial" w:hAnsi="Arial"/>
          <w:sz w:val="17"/>
          <w:szCs w:val="17"/>
          <w:color w:val="auto"/>
        </w:rPr>
        <w:t>We rely on a combination of patent, copyright, trademark and trade secret laws and confidentiality and invention assignment agreements to protect our intellectual property rights.</w:t>
      </w:r>
    </w:p>
    <w:p>
      <w:pPr>
        <w:spacing w:after="0" w:line="113" w:lineRule="exact"/>
        <w:rPr>
          <w:sz w:val="20"/>
          <w:szCs w:val="20"/>
          <w:color w:val="auto"/>
        </w:rPr>
      </w:pPr>
    </w:p>
    <w:p>
      <w:pPr>
        <w:ind w:right="320" w:firstLine="309"/>
        <w:spacing w:after="0" w:line="279" w:lineRule="auto"/>
        <w:rPr>
          <w:sz w:val="20"/>
          <w:szCs w:val="20"/>
          <w:color w:val="auto"/>
        </w:rPr>
      </w:pPr>
      <w:r>
        <w:rPr>
          <w:rFonts w:ascii="Arial" w:cs="Arial" w:eastAsia="Arial" w:hAnsi="Arial"/>
          <w:sz w:val="17"/>
          <w:szCs w:val="17"/>
          <w:color w:val="auto"/>
        </w:rPr>
        <w:t>As of December 31, 2022, we had rights to 42 issued U.S. patents, expiring between 2028 and 2040, 93 issued foreign patents, expiring between 2028 and 2038, 35 pending U.S. patent applications, four pending PCT applications, and 55 foreign patent applications.</w:t>
      </w:r>
    </w:p>
    <w:p>
      <w:pPr>
        <w:spacing w:after="0" w:line="113" w:lineRule="exact"/>
        <w:rPr>
          <w:sz w:val="20"/>
          <w:szCs w:val="20"/>
          <w:color w:val="auto"/>
        </w:rPr>
      </w:pPr>
    </w:p>
    <w:p>
      <w:pPr>
        <w:ind w:right="200" w:firstLine="309"/>
        <w:spacing w:after="0" w:line="283" w:lineRule="auto"/>
        <w:rPr>
          <w:sz w:val="20"/>
          <w:szCs w:val="20"/>
          <w:color w:val="auto"/>
        </w:rPr>
      </w:pPr>
      <w:r>
        <w:rPr>
          <w:rFonts w:ascii="Arial" w:cs="Arial" w:eastAsia="Arial" w:hAnsi="Arial"/>
          <w:sz w:val="16"/>
          <w:szCs w:val="16"/>
          <w:color w:val="auto"/>
        </w:rPr>
        <w:t>As of December 31, 2022, our rights to foreign issued patents include 15 granted Chinese patents, 21 granted Japanese patents, five Brazilian patents, one Indian patent, and ten granted European patents, of which nine have been validated in Germany, eight in Spain, ten in France, ten in the United Kingdom, five in Ireland, and eight in Italy. As of December 31, 2022, our rights to foreign patent applications include 16 pending European applications, 14 pending Chinese applications, 14 pending Japanese applications, four pending Brazilian applications, and six pending Indian applications.</w:t>
      </w:r>
    </w:p>
    <w:p>
      <w:pPr>
        <w:spacing w:after="0" w:line="112" w:lineRule="exact"/>
        <w:rPr>
          <w:sz w:val="20"/>
          <w:szCs w:val="20"/>
          <w:color w:val="auto"/>
        </w:rPr>
      </w:pPr>
    </w:p>
    <w:p>
      <w:pPr>
        <w:ind w:firstLine="309"/>
        <w:spacing w:after="0" w:line="297" w:lineRule="auto"/>
        <w:rPr>
          <w:sz w:val="20"/>
          <w:szCs w:val="20"/>
          <w:color w:val="auto"/>
        </w:rPr>
      </w:pPr>
      <w:r>
        <w:rPr>
          <w:rFonts w:ascii="Arial" w:cs="Arial" w:eastAsia="Arial" w:hAnsi="Arial"/>
          <w:sz w:val="15"/>
          <w:szCs w:val="15"/>
          <w:color w:val="auto"/>
        </w:rPr>
        <w:t>As of December 31, 2022, we have the rights to issued patents and pending patent applications directed to our current AquaBeam Robotic System, including 18 issued U.S. patents and 37 foreign issued or granted patents. The 18 issued U.S. patents, expiring between 2028 and 2038, include machine and process claims, with twelve issued patents directed to the handpiece and six issued patents directed to the system. The 37 foreign issued patents, expiring between 2028 and 2038, include machine claims, with 24 issued patents directed to the handpiece and 13 issued patents directed to the system. The 37 foreign issued patents include one Brazilian patent, six Chinese patents, eight Japanese patents, four German patents, three Spanish patents, four French patents, four United Kingdom patents, three Irish patents, three Italian patents, and one Indian patent. The remaining 24 of the 34 issued U.S. patents and the remaining 56 of the 93 foreign issued patents have machine and process claims directed to prostate treatments with laser energy, enucleation of the prostate, radiation therapy, cell sampling and hemostasis.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is no active patent litigation involving any of our patents and we have not received any notices of patent infringement.</w:t>
      </w:r>
    </w:p>
    <w:p>
      <w:pPr>
        <w:spacing w:after="0" w:line="165" w:lineRule="exact"/>
        <w:rPr>
          <w:sz w:val="20"/>
          <w:szCs w:val="20"/>
          <w:color w:val="auto"/>
        </w:rPr>
      </w:pPr>
    </w:p>
    <w:p>
      <w:pPr>
        <w:ind w:right="480" w:firstLine="309"/>
        <w:spacing w:after="0" w:line="279" w:lineRule="auto"/>
        <w:rPr>
          <w:sz w:val="20"/>
          <w:szCs w:val="20"/>
          <w:color w:val="auto"/>
        </w:rPr>
      </w:pPr>
      <w:r>
        <w:rPr>
          <w:rFonts w:ascii="Arial" w:cs="Arial" w:eastAsia="Arial" w:hAnsi="Arial"/>
          <w:sz w:val="17"/>
          <w:szCs w:val="17"/>
          <w:color w:val="auto"/>
        </w:rPr>
        <w:t>As of December 31, 2022, we had 36 pending and registered trademark filings worldwide, some of which may provide trademark protection in multiple countries.</w:t>
      </w:r>
    </w:p>
    <w:p>
      <w:pPr>
        <w:spacing w:after="0" w:line="113" w:lineRule="exact"/>
        <w:rPr>
          <w:sz w:val="20"/>
          <w:szCs w:val="20"/>
          <w:color w:val="auto"/>
        </w:rPr>
      </w:pPr>
    </w:p>
    <w:p>
      <w:pPr>
        <w:ind w:right="420" w:firstLine="309"/>
        <w:spacing w:after="0" w:line="290" w:lineRule="auto"/>
        <w:rPr>
          <w:sz w:val="20"/>
          <w:szCs w:val="20"/>
          <w:color w:val="auto"/>
        </w:rPr>
      </w:pPr>
      <w:r>
        <w:rPr>
          <w:rFonts w:ascii="Arial" w:cs="Arial" w:eastAsia="Arial" w:hAnsi="Arial"/>
          <w:sz w:val="16"/>
          <w:szCs w:val="16"/>
          <w:color w:val="auto"/>
        </w:rPr>
        <w:t>We also rely, in part, upon unpatented trade secrets, know-how and continuing technological innovation, and may in the future rely upon licensing opportunities, to develop and maintain our competitive position. We protect our proprietary rights through a variety of methods, including confidentiality and assignment agreements with suppliers, employees, consultants and others who may have access to our proprietary information.</w:t>
      </w:r>
    </w:p>
    <w:p>
      <w:pPr>
        <w:spacing w:after="0" w:line="107" w:lineRule="exact"/>
        <w:rPr>
          <w:sz w:val="20"/>
          <w:szCs w:val="20"/>
          <w:color w:val="auto"/>
        </w:rPr>
      </w:pPr>
    </w:p>
    <w:p>
      <w:pPr>
        <w:ind w:right="20" w:firstLine="309"/>
        <w:spacing w:after="0" w:line="259" w:lineRule="auto"/>
        <w:rPr>
          <w:sz w:val="20"/>
          <w:szCs w:val="20"/>
          <w:color w:val="auto"/>
        </w:rPr>
      </w:pPr>
      <w:r>
        <w:rPr>
          <w:rFonts w:ascii="Arial" w:cs="Arial" w:eastAsia="Arial" w:hAnsi="Arial"/>
          <w:sz w:val="17"/>
          <w:szCs w:val="17"/>
          <w:color w:val="auto"/>
        </w:rPr>
        <w:t>Our pending patent applications may not result in issued patents, and we cannot assure you that any current or subsequently issued patents will protect our intellectual property rights or provide us with any competitive advantage. While there is no active litigation involving any of our patents or other intellectual property rights and we have not received any notices of patent infringement, we may be required to enforce or defend our intellectual property rights against third parties in the future. See the section titled “Risk Factors—Risks Related to Intellectual Property Matters” for additional information regarding these and other risks related to our intellectual property portfolio and their potential effect on us.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AquaBeam</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In 2008, we assigned to AquaBeam LLC, or AquaBeam, certain provisional patent applications, or AquaBeam Patent Applications, which have since issued as patents, and any future patent applications that claim priority to the AquaBeam Patent Applications, or AquaBeam Patents.</w:t>
      </w:r>
    </w:p>
    <w:p>
      <w:pPr>
        <w:spacing w:after="0" w:line="113" w:lineRule="exact"/>
        <w:rPr>
          <w:sz w:val="20"/>
          <w:szCs w:val="20"/>
          <w:color w:val="auto"/>
        </w:rPr>
      </w:pPr>
    </w:p>
    <w:p>
      <w:pPr>
        <w:ind w:firstLine="309"/>
        <w:spacing w:after="0" w:line="297" w:lineRule="auto"/>
        <w:rPr>
          <w:sz w:val="20"/>
          <w:szCs w:val="20"/>
          <w:color w:val="auto"/>
        </w:rPr>
      </w:pPr>
      <w:r>
        <w:rPr>
          <w:rFonts w:ascii="Arial" w:cs="Arial" w:eastAsia="Arial" w:hAnsi="Arial"/>
          <w:sz w:val="15"/>
          <w:szCs w:val="15"/>
          <w:color w:val="auto"/>
        </w:rPr>
        <w:t>In September 2019, we entered into an amended and restated license agreement, or the AquaBeam License Agreement, with AquaBeam. Pursuant to the AquaBeam License Agreement, AquaBeam granted us a worldwide, exclusive (even as to AquaBeam), sublicensable, royalty-free license under the AquaBeam Patents and to all other patent rights owned by AquaBeam, that claim certain technology related to delivering energy to tissues by directing a liquid fluid stream, or together with AquaBeam Patents, Licensed Patents, in the field of urology, or Field. Pursuant to the AquaBeam License Agreement, and subject to the terms therein, we granted AquaBeam a worldwide, exclusive (even as to us), sublicensable, royalty-free license under certain of our patents rights until October 2021, that claim certain technology related to delivering energy to tissues by directing a liquid fluid stream, or PROCEPT Patents, outside the Field. No payments (except for patent prosecution and maintenance costs) have been made or are otherwise required under the AquaBeam License Agreement.</w:t>
      </w:r>
    </w:p>
    <w:p>
      <w:pPr>
        <w:spacing w:after="0" w:line="104" w:lineRule="exact"/>
        <w:rPr>
          <w:sz w:val="20"/>
          <w:szCs w:val="20"/>
          <w:color w:val="auto"/>
        </w:rPr>
      </w:pPr>
    </w:p>
    <w:p>
      <w:pPr>
        <w:ind w:right="180" w:firstLine="309"/>
        <w:spacing w:after="0" w:line="262" w:lineRule="auto"/>
        <w:rPr>
          <w:sz w:val="20"/>
          <w:szCs w:val="20"/>
          <w:color w:val="auto"/>
        </w:rPr>
      </w:pPr>
      <w:r>
        <w:rPr>
          <w:rFonts w:ascii="Arial" w:cs="Arial" w:eastAsia="Arial" w:hAnsi="Arial"/>
          <w:sz w:val="17"/>
          <w:szCs w:val="17"/>
          <w:color w:val="auto"/>
        </w:rPr>
        <w:t>The AquaBeam License Agreement will remain in full force and effect on a country-by-country basis until the last to expire of the Licensed Patents and the PROCEPT Patents in such country. The expiration date of the last-to-expire of the Licensed Patents and PROCEPT Patents will not be earlier than 2037. The AquaBeam License Agreement may be terminated by either party in the event of uncured material breach by the other party that remains uncured for 90 days (or 30 days for payment related breaches), or bankruptcy of the other party.</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License Agreement with HydroCision</w:t>
      </w:r>
    </w:p>
    <w:p>
      <w:pPr>
        <w:spacing w:after="0" w:line="171" w:lineRule="exact"/>
        <w:rPr>
          <w:sz w:val="20"/>
          <w:szCs w:val="20"/>
          <w:color w:val="auto"/>
        </w:rPr>
      </w:pPr>
    </w:p>
    <w:p>
      <w:pPr>
        <w:ind w:right="400" w:firstLine="309"/>
        <w:spacing w:after="0" w:line="259" w:lineRule="auto"/>
        <w:rPr>
          <w:sz w:val="20"/>
          <w:szCs w:val="20"/>
          <w:color w:val="auto"/>
        </w:rPr>
      </w:pPr>
      <w:r>
        <w:rPr>
          <w:rFonts w:ascii="Arial" w:cs="Arial" w:eastAsia="Arial" w:hAnsi="Arial"/>
          <w:sz w:val="17"/>
          <w:szCs w:val="17"/>
          <w:color w:val="auto"/>
        </w:rPr>
        <w:t>We are party to a Confidential Exclusive Patent License and Covenant Not To Sue, or the HydroCision License Agreement, with HydroCision, Inc., or HydroCision. Pursuant to the HydroCision License Agreement, HydroCision granted us a worldwide, exclusive, sublicensable, royalty-free license to certain patents related to fluid jet technology in the field of urology, or the Fluid Jet Technology Patents and related know-how and documentation. HydroCision also granted us a non-exclusive license to patents allowing us to make, sell, import, export, or otherwise dispose of products made using the Fluid Jet Technology Patents.</w:t>
      </w:r>
    </w:p>
    <w:p>
      <w:pPr>
        <w:spacing w:after="0" w:line="209" w:lineRule="exact"/>
        <w:rPr>
          <w:sz w:val="20"/>
          <w:szCs w:val="20"/>
          <w:color w:val="auto"/>
        </w:rPr>
      </w:pPr>
    </w:p>
    <w:p>
      <w:pPr>
        <w:ind w:right="280" w:firstLine="309"/>
        <w:spacing w:after="0" w:line="349" w:lineRule="auto"/>
        <w:rPr>
          <w:sz w:val="20"/>
          <w:szCs w:val="20"/>
          <w:color w:val="auto"/>
        </w:rPr>
      </w:pPr>
      <w:r>
        <w:rPr>
          <w:rFonts w:ascii="Arial" w:cs="Arial" w:eastAsia="Arial" w:hAnsi="Arial"/>
          <w:sz w:val="15"/>
          <w:szCs w:val="15"/>
          <w:color w:val="auto"/>
        </w:rPr>
        <w:t>In exchange for the license from HyrdoCision, we paid HydroCision $2,500,000. No further payments have been made or are otherwise required under the HydoCision License Agreement. HydroCision is responsible for all patent prosecution and maintenance costs related to the Fluid Jet Technology Patents.</w:t>
      </w:r>
    </w:p>
    <w:p>
      <w:pPr>
        <w:spacing w:after="0" w:line="143" w:lineRule="exact"/>
        <w:rPr>
          <w:sz w:val="20"/>
          <w:szCs w:val="20"/>
          <w:color w:val="auto"/>
        </w:rPr>
      </w:pPr>
    </w:p>
    <w:p>
      <w:pPr>
        <w:ind w:right="120" w:firstLine="309"/>
        <w:spacing w:after="0" w:line="279" w:lineRule="auto"/>
        <w:rPr>
          <w:sz w:val="20"/>
          <w:szCs w:val="20"/>
          <w:color w:val="auto"/>
        </w:rPr>
      </w:pPr>
      <w:r>
        <w:rPr>
          <w:rFonts w:ascii="Arial" w:cs="Arial" w:eastAsia="Arial" w:hAnsi="Arial"/>
          <w:sz w:val="17"/>
          <w:szCs w:val="17"/>
          <w:color w:val="auto"/>
        </w:rPr>
        <w:t>The HydoCision License Agreement will remain in full force and effect until the last to expire of the Fluid Jet Technology Patents. The expiration date of the last-to-expire of the Fluid Jet Technology Patents will not be earlier than 2039.</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71" w:lineRule="exact"/>
        <w:rPr>
          <w:sz w:val="20"/>
          <w:szCs w:val="20"/>
          <w:color w:val="auto"/>
        </w:rPr>
      </w:pPr>
    </w:p>
    <w:p>
      <w:pPr>
        <w:ind w:right="100" w:firstLine="309"/>
        <w:spacing w:after="0" w:line="258" w:lineRule="auto"/>
        <w:rPr>
          <w:sz w:val="20"/>
          <w:szCs w:val="20"/>
          <w:color w:val="auto"/>
        </w:rPr>
      </w:pPr>
      <w:r>
        <w:rPr>
          <w:rFonts w:ascii="Arial" w:cs="Arial" w:eastAsia="Arial" w:hAnsi="Arial"/>
          <w:sz w:val="17"/>
          <w:szCs w:val="17"/>
          <w:color w:val="auto"/>
        </w:rPr>
        <w:t>Our products and our operations are subject to extensive regulation by the FDA and other federal and state authorities in the United States, as well as comparable authorities outside the United States. Our products are subject to regulation as medical devices under the Federal Food, Drug, and Cosmetic Act, or FDCA, as implemented and enforced by the FDA. The FDA regulates the development, design, non-clinical and clinical research, manufacturing, safety, efficacy, labeling, packaging, storage, installation, servicing, recordkeeping, premarket clearance or approval, import, export,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32" w:lineRule="exact"/>
        <w:rPr>
          <w:sz w:val="20"/>
          <w:szCs w:val="20"/>
          <w:color w:val="auto"/>
        </w:rPr>
      </w:pPr>
    </w:p>
    <w:p>
      <w:pPr>
        <w:ind w:right="140" w:firstLine="309"/>
        <w:spacing w:after="0" w:line="279" w:lineRule="auto"/>
        <w:rPr>
          <w:sz w:val="20"/>
          <w:szCs w:val="20"/>
          <w:color w:val="auto"/>
        </w:rPr>
      </w:pPr>
      <w:r>
        <w:rPr>
          <w:rFonts w:ascii="Arial" w:cs="Arial" w:eastAsia="Arial" w:hAnsi="Arial"/>
          <w:sz w:val="16"/>
          <w:szCs w:val="16"/>
          <w:color w:val="auto"/>
        </w:rPr>
        <w:t>In addition to United States regulations, we are subject to a variety of regulations outside the United States governing clinical trials and the commercial sales and distribution of our products. Whether or not we have or are required to obtain FDA clearance or approval for a product, we will be required to obtain authorization before commencing clinical trials and to obtain marketing authorization or approval of our products under the comparable regulatory authorities of countries outside of the United States before we can commence clinical trials or commercialize our products in those countries. The approval process varies from country to country and the time may be longer or shorter than that required for FDA clearance or approval.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Premarket Clearance and Approval Requirements</w:t>
      </w:r>
    </w:p>
    <w:p>
      <w:pPr>
        <w:spacing w:after="0" w:line="166" w:lineRule="exact"/>
        <w:rPr>
          <w:sz w:val="20"/>
          <w:szCs w:val="20"/>
          <w:color w:val="auto"/>
        </w:rPr>
      </w:pPr>
    </w:p>
    <w:p>
      <w:pPr>
        <w:ind w:firstLine="309"/>
        <w:spacing w:after="0" w:line="272" w:lineRule="auto"/>
        <w:rPr>
          <w:sz w:val="20"/>
          <w:szCs w:val="20"/>
          <w:color w:val="auto"/>
        </w:rPr>
      </w:pPr>
      <w:r>
        <w:rPr>
          <w:rFonts w:ascii="Arial" w:cs="Arial" w:eastAsia="Arial" w:hAnsi="Arial"/>
          <w:sz w:val="16"/>
          <w:szCs w:val="16"/>
          <w:color w:val="auto"/>
        </w:rPr>
        <w:t>Unless an exemption applies, each medical device commercially distributed in the United States requires either FDA clearance of a 510(k) premarket notification or PMA approval.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FDA’s Quality System Regulation, or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process.</w:t>
      </w:r>
    </w:p>
    <w:p>
      <w:pPr>
        <w:spacing w:after="0" w:line="125"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are unclassified, but are subject to the FDA’s premarket notification and clearance process in order to be commercially distributed.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 Novo Classification</w:t>
      </w:r>
    </w:p>
    <w:p>
      <w:pPr>
        <w:spacing w:after="0" w:line="165" w:lineRule="exact"/>
        <w:rPr>
          <w:sz w:val="20"/>
          <w:szCs w:val="20"/>
          <w:color w:val="auto"/>
        </w:rPr>
      </w:pPr>
    </w:p>
    <w:p>
      <w:pPr>
        <w:ind w:right="320" w:firstLine="309"/>
        <w:spacing w:after="0" w:line="262" w:lineRule="auto"/>
        <w:rPr>
          <w:sz w:val="20"/>
          <w:szCs w:val="20"/>
          <w:color w:val="auto"/>
        </w:rPr>
      </w:pPr>
      <w:r>
        <w:rPr>
          <w:rFonts w:ascii="Arial" w:cs="Arial" w:eastAsia="Arial" w:hAnsi="Arial"/>
          <w:sz w:val="17"/>
          <w:szCs w:val="17"/>
          <w:color w:val="auto"/>
        </w:rPr>
        <w:t>Medical device types that the FDA has not previously classified as Class I, II or III are automatically classified into Class III regardless of the level of risk they pose. The Food and Drug Administration Modernization Act of 1997 established a route to market for low to moderate risk medical devices that are automatically placed into Class III due to the absence of a predicate device, called the “Request for Evaluation of Automatic Class III Designation,” or the de novo classification procedure.</w:t>
      </w:r>
    </w:p>
    <w:p>
      <w:pPr>
        <w:spacing w:after="0" w:line="126" w:lineRule="exact"/>
        <w:rPr>
          <w:sz w:val="20"/>
          <w:szCs w:val="20"/>
          <w:color w:val="auto"/>
        </w:rPr>
      </w:pPr>
    </w:p>
    <w:p>
      <w:pPr>
        <w:ind w:right="40" w:firstLine="309"/>
        <w:spacing w:after="0" w:line="299" w:lineRule="auto"/>
        <w:rPr>
          <w:sz w:val="20"/>
          <w:szCs w:val="20"/>
          <w:color w:val="auto"/>
        </w:rPr>
      </w:pPr>
      <w:r>
        <w:rPr>
          <w:rFonts w:ascii="Arial" w:cs="Arial" w:eastAsia="Arial" w:hAnsi="Arial"/>
          <w:sz w:val="15"/>
          <w:szCs w:val="15"/>
          <w:color w:val="auto"/>
        </w:rPr>
        <w:t>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Prior to the enactment of the Food and Drug Administration Safety and Innovation Act of 2012, or FDASIA, a medical device could only be eligible for de novo classification if the manufacturer first submitted a 510(k) pre-market notification and received a determination from the FDA that the device was not substantially equivalent. FDASIA streamlined the de novo classification pathway by permitting manufacturers to request de novo classification directly without first submitting a 510(k) pre-market notification to the FDA and receiving a not substantially equivalent determination. Under FDASIA, the FDA is required to classify the</w:t>
      </w:r>
    </w:p>
    <w:p>
      <w:pPr>
        <w:spacing w:after="0" w:line="200" w:lineRule="exact"/>
        <w:rPr>
          <w:sz w:val="20"/>
          <w:szCs w:val="20"/>
          <w:color w:val="auto"/>
        </w:rPr>
      </w:pPr>
    </w:p>
    <w:p>
      <w:pPr>
        <w:spacing w:after="0" w:line="31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color w:val="auto"/>
        </w:rPr>
        <w:t>device within 120 days following receipt of the de novo request.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12" w:lineRule="exact"/>
        <w:rPr>
          <w:sz w:val="20"/>
          <w:szCs w:val="20"/>
          <w:color w:val="auto"/>
        </w:rPr>
      </w:pPr>
    </w:p>
    <w:p>
      <w:pPr>
        <w:ind w:right="260" w:firstLine="309"/>
        <w:spacing w:after="0" w:line="266" w:lineRule="auto"/>
        <w:rPr>
          <w:sz w:val="20"/>
          <w:szCs w:val="20"/>
          <w:color w:val="auto"/>
        </w:rPr>
      </w:pPr>
      <w:r>
        <w:rPr>
          <w:rFonts w:ascii="Arial" w:cs="Arial" w:eastAsia="Arial" w:hAnsi="Arial"/>
          <w:sz w:val="17"/>
          <w:szCs w:val="17"/>
          <w:color w:val="auto"/>
        </w:rPr>
        <w:t>Our currently marketed AquaBeam Robotic System is a Class II device, which was initially granted marketing authorization pursuant to a de novo classification. We have subsequently received FDA clearance of a 510(k) pre-market notification for modifications to the AquaBeam Robotic System where we used the initially authorized device as the predicate device for our more recent 510(k) clearance.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PMA Approval Pathway</w:t>
      </w:r>
    </w:p>
    <w:p>
      <w:pPr>
        <w:spacing w:after="0" w:line="165" w:lineRule="exact"/>
        <w:rPr>
          <w:sz w:val="20"/>
          <w:szCs w:val="20"/>
          <w:color w:val="auto"/>
        </w:rPr>
      </w:pPr>
    </w:p>
    <w:p>
      <w:pPr>
        <w:ind w:right="20" w:firstLine="309"/>
        <w:spacing w:after="0" w:line="256" w:lineRule="auto"/>
        <w:rPr>
          <w:sz w:val="20"/>
          <w:szCs w:val="20"/>
          <w:color w:val="auto"/>
        </w:rPr>
      </w:pPr>
      <w:r>
        <w:rPr>
          <w:rFonts w:ascii="Arial" w:cs="Arial" w:eastAsia="Arial" w:hAnsi="Arial"/>
          <w:sz w:val="17"/>
          <w:szCs w:val="17"/>
          <w:color w:val="auto"/>
        </w:rPr>
        <w:t>Class III devices require PMA approval before they can be marketed although some pre-amendment Class III devices for which the FDA has not yet required a PMA are cleared through the 510(k) process. The PMA process is more demanding than the 510(k) premarket notification process. In a PMA, the manufacturer must demonstrate that the device is safe and effective, and the PMA must be supported by extensive data, including data from preclinical studies and human clinical trials. The PMA must also contain a full description of the device and its components, a full description of the methods, facilities and controls used for manufacturing, and proposed labeling. Following receipt of a PMA, the FDA determines whether the application is sufficiently complete to permit a substantive review. If the FDA accepts the application for review, it has 180 days under the FDCA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32" w:lineRule="exact"/>
        <w:rPr>
          <w:sz w:val="20"/>
          <w:szCs w:val="20"/>
          <w:color w:val="auto"/>
        </w:rPr>
      </w:pPr>
    </w:p>
    <w:p>
      <w:pPr>
        <w:ind w:right="20" w:firstLine="309"/>
        <w:spacing w:after="0" w:line="275"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18"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w:t>
      </w:r>
    </w:p>
    <w:p>
      <w:pPr>
        <w:spacing w:after="0" w:line="165" w:lineRule="exact"/>
        <w:rPr>
          <w:sz w:val="20"/>
          <w:szCs w:val="20"/>
          <w:color w:val="auto"/>
        </w:rPr>
      </w:pPr>
    </w:p>
    <w:p>
      <w:pPr>
        <w:ind w:right="20" w:firstLine="309"/>
        <w:spacing w:after="0" w:line="276" w:lineRule="auto"/>
        <w:rPr>
          <w:sz w:val="20"/>
          <w:szCs w:val="20"/>
          <w:color w:val="auto"/>
        </w:rPr>
      </w:pPr>
      <w:r>
        <w:rPr>
          <w:rFonts w:ascii="Arial" w:cs="Arial" w:eastAsia="Arial" w:hAnsi="Arial"/>
          <w:sz w:val="16"/>
          <w:szCs w:val="16"/>
          <w:color w:val="auto"/>
        </w:rPr>
        <w:t>Clinical trials are almost always required to support a PMA or de novo request and are sometimes required to support a 510(k) submission. All clinical investigations of investigational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w:t>
      </w: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31"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Regardless of the degree of risk presented by the medical device, clinical studies must be approved by, and conducted under the oversight of, an Institutional Review Board, or IRB, for each clinical site. The IRB is responsible for the initial and continuing review of the IDE, and may impose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25" w:lineRule="exact"/>
        <w:rPr>
          <w:sz w:val="20"/>
          <w:szCs w:val="20"/>
          <w:color w:val="auto"/>
        </w:rPr>
      </w:pPr>
    </w:p>
    <w:p>
      <w:pPr>
        <w:ind w:right="40" w:firstLine="309"/>
        <w:spacing w:after="0" w:line="277" w:lineRule="auto"/>
        <w:rPr>
          <w:sz w:val="20"/>
          <w:szCs w:val="20"/>
          <w:color w:val="auto"/>
        </w:rPr>
      </w:pPr>
      <w:r>
        <w:rPr>
          <w:rFonts w:ascii="Arial" w:cs="Arial" w:eastAsia="Arial" w:hAnsi="Arial"/>
          <w:sz w:val="16"/>
          <w:szCs w:val="16"/>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Post-Market Regulation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After a device is cleared or approved for marketing, numerous and pervasive regulatory requirements continue to apply. These include:</w:t>
      </w:r>
    </w:p>
    <w:p>
      <w:pPr>
        <w:spacing w:after="0" w:line="165" w:lineRule="exact"/>
        <w:rPr>
          <w:sz w:val="20"/>
          <w:szCs w:val="20"/>
          <w:color w:val="auto"/>
        </w:rPr>
      </w:pPr>
    </w:p>
    <w:p>
      <w:pPr>
        <w:ind w:left="620" w:hanging="307"/>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establishment registration and device listing with the FDA;</w:t>
      </w:r>
    </w:p>
    <w:p>
      <w:pPr>
        <w:spacing w:after="0" w:line="165"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12" w:lineRule="exact"/>
        <w:rPr>
          <w:rFonts w:ascii="Arial" w:cs="Arial" w:eastAsia="Arial" w:hAnsi="Arial"/>
          <w:sz w:val="17"/>
          <w:szCs w:val="17"/>
          <w:color w:val="auto"/>
        </w:rPr>
      </w:pPr>
    </w:p>
    <w:p>
      <w:pPr>
        <w:ind w:left="620" w:right="100" w:hanging="307"/>
        <w:spacing w:after="0" w:line="266"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labeling and marketing regulations, which require that promotion is truthful, not misleading, fairly balanced and provide adequate directions for use and that all claims are substantiated, and also prohibit the promotion of products for unapproved or “off-label” uses and impose other restrictions on labeling; FDA guidance on off-label dissemination of information and responding to unsolicited requests for information;</w:t>
      </w:r>
    </w:p>
    <w:p>
      <w:pPr>
        <w:spacing w:after="0" w:line="123" w:lineRule="exact"/>
        <w:rPr>
          <w:rFonts w:ascii="Arial" w:cs="Arial" w:eastAsia="Arial" w:hAnsi="Arial"/>
          <w:sz w:val="17"/>
          <w:szCs w:val="17"/>
          <w:color w:val="auto"/>
        </w:rPr>
      </w:pPr>
    </w:p>
    <w:p>
      <w:pPr>
        <w:ind w:left="620" w:right="180" w:hanging="307"/>
        <w:spacing w:after="0" w:line="312"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clearance or approval of product modifications to 510(k)-cleared devices that could significantly affect safety or effectiveness or that would constitute a major change in intended use of one of our cleared devices, or approval of a supplement for certain modifications to PMA devices;</w:t>
      </w:r>
    </w:p>
    <w:p>
      <w:pPr>
        <w:spacing w:after="0" w:line="88"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23" w:lineRule="exact"/>
        <w:rPr>
          <w:rFonts w:ascii="Arial" w:cs="Arial" w:eastAsia="Arial" w:hAnsi="Arial"/>
          <w:sz w:val="17"/>
          <w:szCs w:val="17"/>
          <w:color w:val="auto"/>
        </w:rPr>
      </w:pPr>
    </w:p>
    <w:p>
      <w:pPr>
        <w:ind w:left="620" w:right="80" w:hanging="307"/>
        <w:spacing w:after="0" w:line="312" w:lineRule="auto"/>
        <w:tabs>
          <w:tab w:leader="none" w:pos="6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200" w:lineRule="exact"/>
        <w:rPr>
          <w:sz w:val="20"/>
          <w:szCs w:val="20"/>
          <w:color w:val="auto"/>
        </w:rPr>
      </w:pPr>
    </w:p>
    <w:p>
      <w:pPr>
        <w:spacing w:after="0" w:line="30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complying with the new federal law and regulations requiring Unique Device Identifiers, or UDI, on devices and also requiring the submission of certain information about each device to the FDA’s Global Unique Device Identification Database;</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FDA’s recall authority, whereby the agency can order device manufacturers to recall from the market a product that is in violation of governing laws and regulations; and</w:t>
      </w:r>
    </w:p>
    <w:p>
      <w:pPr>
        <w:spacing w:after="0" w:line="112"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post-market surveillance activities and regulations, which apply when deemed by the FDA to be necessary to protect the public health or to provide additional safety and effectiveness data for the device.</w:t>
      </w:r>
    </w:p>
    <w:p>
      <w:pPr>
        <w:spacing w:after="0" w:line="113" w:lineRule="exact"/>
        <w:rPr>
          <w:sz w:val="20"/>
          <w:szCs w:val="20"/>
          <w:color w:val="auto"/>
        </w:rPr>
      </w:pPr>
    </w:p>
    <w:p>
      <w:pPr>
        <w:ind w:right="20" w:firstLine="309"/>
        <w:spacing w:after="0" w:line="295" w:lineRule="auto"/>
        <w:rPr>
          <w:sz w:val="20"/>
          <w:szCs w:val="20"/>
          <w:color w:val="auto"/>
        </w:rPr>
      </w:pPr>
      <w:r>
        <w:rPr>
          <w:rFonts w:ascii="Arial" w:cs="Arial" w:eastAsia="Arial" w:hAnsi="Arial"/>
          <w:sz w:val="15"/>
          <w:szCs w:val="15"/>
          <w:color w:val="auto"/>
        </w:rPr>
        <w:t>Manufacturing processes for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our facilities, records and manufacturing processes are subject to periodic scheduled or unscheduled inspections by the FDA. Our failure to maintain compliance with the QSR or other applicable regulatory requirements could result in the shut-down of, or restrictions on, our manufacturing operations and the recall or seizure of our products.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09"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13"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warning letters, untitled letters, fines, injunctions, consent decrees and civil penalties;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recalls, withdrawals, or administrative detention or seizure of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operating restrictions or partial suspension or total shutdown of production;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refusing or delaying requests for 510(k) marketing clearance or PMA approvals of new products or modified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withdrawing 510(k) clearances or PMA approvals that have already been granted;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refusal to grant export or import approvals for our products; 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California Regulation</w:t>
      </w:r>
    </w:p>
    <w:p>
      <w:pPr>
        <w:spacing w:after="0" w:line="165" w:lineRule="exact"/>
        <w:rPr>
          <w:sz w:val="20"/>
          <w:szCs w:val="20"/>
          <w:color w:val="auto"/>
        </w:rPr>
      </w:pPr>
    </w:p>
    <w:p>
      <w:pPr>
        <w:ind w:right="20" w:firstLine="309"/>
        <w:spacing w:after="0" w:line="262" w:lineRule="auto"/>
        <w:rPr>
          <w:sz w:val="20"/>
          <w:szCs w:val="20"/>
          <w:color w:val="auto"/>
        </w:rPr>
      </w:pPr>
      <w:r>
        <w:rPr>
          <w:rFonts w:ascii="Arial" w:cs="Arial" w:eastAsia="Arial" w:hAnsi="Arial"/>
          <w:sz w:val="17"/>
          <w:szCs w:val="17"/>
          <w:color w:val="auto"/>
        </w:rPr>
        <w:t>The State of California requires that we obtain a license to manufacture medical devices. In accordance with the State of California regulations, our license to manufacture is renewed annually with any updated manufacturing information. Although the State of California has announced the suspension of routine periodic inspections, there can be no assurance that the State of California will not resume such inspections or conduct such inspections under specific circumstances that are not yet known.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of Medical Devices Outside the United States</w:t>
      </w:r>
    </w:p>
    <w:p>
      <w:pPr>
        <w:spacing w:after="0" w:line="165" w:lineRule="exact"/>
        <w:rPr>
          <w:sz w:val="20"/>
          <w:szCs w:val="20"/>
          <w:color w:val="auto"/>
        </w:rPr>
      </w:pPr>
    </w:p>
    <w:p>
      <w:pPr>
        <w:ind w:right="100" w:firstLine="309"/>
        <w:spacing w:after="0" w:line="283" w:lineRule="auto"/>
        <w:rPr>
          <w:sz w:val="20"/>
          <w:szCs w:val="20"/>
          <w:color w:val="auto"/>
        </w:rPr>
      </w:pPr>
      <w:r>
        <w:rPr>
          <w:rFonts w:ascii="Arial" w:cs="Arial" w:eastAsia="Arial" w:hAnsi="Arial"/>
          <w:sz w:val="16"/>
          <w:szCs w:val="16"/>
          <w:color w:val="auto"/>
        </w:rPr>
        <w:t>In order for us to market our products in countries outside the United States, we must obtain regulatory approvals and comply with extensive product and quality system regulations in other countries. These regulations, such as requirements for approvals or clearance and the time required for regulatory review, will vary from country to country. Some countries have regulatory review processes that are significantly longer than United States regulatory approval. Failure to obtain regulatory approval in a timely manner and meet all the local requirements (including language and specific safety</w:t>
      </w:r>
    </w:p>
    <w:p>
      <w:pPr>
        <w:spacing w:after="0" w:line="200" w:lineRule="exact"/>
        <w:rPr>
          <w:sz w:val="20"/>
          <w:szCs w:val="20"/>
          <w:color w:val="auto"/>
        </w:rPr>
      </w:pPr>
    </w:p>
    <w:p>
      <w:pPr>
        <w:spacing w:after="0" w:line="325"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82" w:right="41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60"/>
        <w:spacing w:after="0" w:line="443" w:lineRule="auto"/>
        <w:rPr>
          <w:sz w:val="20"/>
          <w:szCs w:val="20"/>
          <w:color w:val="auto"/>
        </w:rPr>
      </w:pPr>
      <w:r>
        <w:rPr>
          <w:rFonts w:ascii="Arial" w:cs="Arial" w:eastAsia="Arial" w:hAnsi="Arial"/>
          <w:sz w:val="17"/>
          <w:szCs w:val="17"/>
          <w:color w:val="auto"/>
        </w:rPr>
        <w:t xml:space="preserve">standards) in any foreign country in which we plan to market our products could prevent us from marketing products in such countries or subject us to fines. </w:t>
      </w:r>
      <w:r>
        <w:rPr>
          <w:rFonts w:ascii="Arial" w:cs="Arial" w:eastAsia="Arial" w:hAnsi="Arial"/>
          <w:sz w:val="17"/>
          <w:szCs w:val="17"/>
          <w:b w:val="1"/>
          <w:bCs w:val="1"/>
          <w:i w:val="1"/>
          <w:iCs w:val="1"/>
          <w:color w:val="auto"/>
        </w:rPr>
        <w:t>Regulation of Medical Devices, European Economic Area (“EEA”)</w:t>
      </w:r>
    </w:p>
    <w:p>
      <w:pPr>
        <w:ind w:right="140" w:firstLine="309"/>
        <w:spacing w:after="0" w:line="273" w:lineRule="auto"/>
        <w:rPr>
          <w:sz w:val="20"/>
          <w:szCs w:val="20"/>
          <w:color w:val="auto"/>
        </w:rPr>
      </w:pPr>
      <w:r>
        <w:rPr>
          <w:rFonts w:ascii="Arial" w:cs="Arial" w:eastAsia="Arial" w:hAnsi="Arial"/>
          <w:sz w:val="16"/>
          <w:szCs w:val="16"/>
          <w:color w:val="auto"/>
        </w:rPr>
        <w:t>There is currently no premarket government of medical devices in the EEA (which is comprised of the 28 Member States of the EU plus Norway, Liechtenstein and Iceland). However, all medical devices placed on the market in the EEA must meet the relevant essential requirements laid down in Annex I of Directive 93/42/EEC concerning medical devices, or the Medical Devices Directive, and the regulations laid down in the 2017/745, or the Medical Device Regulations. There is also a directive specifically addressing Active Implantable Medical Devices (Directive 90/385/EEC). The most fundamental essential requirement is that a medical device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The European Commission has adopted various standards applicable to medical devices. These include standards governing common requirements, such as sterilization and safety of medical electrical equipment, and product standards for certain types of medical devices. There are also harmonized standards relating to design and manufacture. While not mandatory, compliance with these standards is viewed as the easiest way to satisfy the essential requirements as a practical matter. Compliance with a standard developed to implement an essential requirement also creates a rebuttable presumption that the device satisfies that essential requirement.</w:t>
      </w:r>
    </w:p>
    <w:p>
      <w:pPr>
        <w:spacing w:after="0" w:line="122" w:lineRule="exact"/>
        <w:rPr>
          <w:sz w:val="20"/>
          <w:szCs w:val="20"/>
          <w:color w:val="auto"/>
        </w:rPr>
      </w:pPr>
    </w:p>
    <w:p>
      <w:pPr>
        <w:ind w:right="20" w:firstLine="309"/>
        <w:spacing w:after="0" w:line="293" w:lineRule="auto"/>
        <w:rPr>
          <w:sz w:val="20"/>
          <w:szCs w:val="20"/>
          <w:color w:val="auto"/>
        </w:rPr>
      </w:pPr>
      <w:r>
        <w:rPr>
          <w:rFonts w:ascii="Arial" w:cs="Arial" w:eastAsia="Arial" w:hAnsi="Arial"/>
          <w:sz w:val="15"/>
          <w:szCs w:val="15"/>
          <w:color w:val="auto"/>
        </w:rPr>
        <w:t>To demonstrate compliance with the essential requirements laid down in Annex I to the Medical Devices Directive, medical device manufacturers must undergo a conformity assessment procedure, which varies according to the type of medical device and its classification. Conformity assessment procedures require an assessment of available clinical evidence, literature data for the product and post-market experience in respect of similar products already marketed. Except for low-risk medical devices (Class I non-sterile, non-measuring devices), where the manufacturer can self-declare the conformity of its products with the essential requirements (except for any parts which relate to sterility or metrology), a conformity assessment procedure requires the intervention of a Notified Body. Notified bodies are often separate entities and are authorized or licensed to perform such assessments by government authorities. The notified body would typically audit and examine a product’s technical dossiers and the manufacturers’ quality system. If satisfied that the relevant product conforms to the relevant essential requirements, the notified body issues a certificate of conformity, which the manufacturer uses as a basis for its own declaration of conformity. The manufacturer may then apply the CE Mark to the device, which allows the device to be placed on the market throughout the EEA. Once the product has been placed on the market in the EEA, the manufacturer must comply with requirements for reporting incidents and field safety corrective actions associated with the medical device.</w:t>
      </w:r>
    </w:p>
    <w:p>
      <w:pPr>
        <w:spacing w:after="0" w:line="112" w:lineRule="exact"/>
        <w:rPr>
          <w:sz w:val="20"/>
          <w:szCs w:val="20"/>
          <w:color w:val="auto"/>
        </w:rPr>
      </w:pPr>
    </w:p>
    <w:p>
      <w:pPr>
        <w:ind w:right="100" w:firstLine="309"/>
        <w:spacing w:after="0" w:line="259" w:lineRule="auto"/>
        <w:rPr>
          <w:sz w:val="20"/>
          <w:szCs w:val="20"/>
          <w:color w:val="auto"/>
        </w:rPr>
      </w:pPr>
      <w:r>
        <w:rPr>
          <w:rFonts w:ascii="Arial" w:cs="Arial" w:eastAsia="Arial" w:hAnsi="Arial"/>
          <w:sz w:val="17"/>
          <w:szCs w:val="17"/>
          <w:color w:val="auto"/>
        </w:rPr>
        <w:t>In order to demonstrate safety and efficacy for their medical devices, manufacturers must conduct clinical investigations in accordance with the requirements of Annex X to the Medical Devices Directive, Annex 7 of the Active Implantable Medical Devices Directive, and applicable European and International Organization for Standardization standards, as implemented or adopted in the EEA member states. Clinical trials for medical devices usually require the approval of an ethics review board and approval by or notification to the national regulatory authorities. Both regulators and ethics committees also require the submission of serious adverse event reports during a study and may request a copy of the final study report.</w:t>
      </w:r>
    </w:p>
    <w:p>
      <w:pPr>
        <w:spacing w:after="0" w:line="131"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On May 25, 2017 the new Medical Devices Regulation, or 2017/745 or MDR, was adopted by the European Parliament, which repeals and replaces the EU Medical Devices Directive and the Active Implantable Medical Devices Directive. Following its entry into application on May 26, 2021, the MDR will introduce substantial changes to the obligations with which medical device manufacturers must comply in the EU. High risk medical devices will be subject to additional scrutiny during the conformity assessment procedure.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ensure a high level of safety and health while supporting innovation.</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the effective date, May 26, 2021, the new regulations, among other things:</w:t>
      </w:r>
    </w:p>
    <w:p>
      <w:pPr>
        <w:spacing w:after="0" w:line="165" w:lineRule="exact"/>
        <w:rPr>
          <w:sz w:val="20"/>
          <w:szCs w:val="20"/>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strengthened the rules on placing devices on the market and reinforce surveillance once they are available;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established explicit provisions on manufacturers’ responsibilities for the follow-up of the quality, performance and safety of devices placed on the market;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improved the traceability of medical devices throughout the supply chain to the end-user or patient through a unique identification number;</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set up a central database to provide patients, healthcare professionals and the public with comprehensive information on products available in the EU;</w:t>
      </w:r>
    </w:p>
    <w:p>
      <w:pPr>
        <w:spacing w:after="0" w:line="188" w:lineRule="exact"/>
        <w:rPr>
          <w:rFonts w:ascii="Arial" w:cs="Arial" w:eastAsia="Arial" w:hAnsi="Arial"/>
          <w:sz w:val="15"/>
          <w:szCs w:val="15"/>
          <w:color w:val="auto"/>
        </w:rPr>
      </w:pPr>
    </w:p>
    <w:p>
      <w:pPr>
        <w:ind w:left="620" w:right="20" w:hanging="307"/>
        <w:spacing w:after="0" w:line="279"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strengthened rules for the assessment of certain high-risk devices, such as implants, which may have to undergo an additional check by experts before they are placed on the market.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subject to regulations and product registration requirements in many foreign countries in which we may sell our products, including in the areas of:</w:t>
      </w:r>
    </w:p>
    <w:p>
      <w:pPr>
        <w:spacing w:after="0" w:line="188"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design, development, manufacturing and testing;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standards;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safety;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product safety reporting;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marketing, sales and distribution;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packaging and storage requirements;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labeling requirements;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content and language of instructions for use;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clinical trials;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record keeping procedures;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advertising and promotion;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recalls and field corrective actions;</w:t>
      </w:r>
    </w:p>
    <w:p>
      <w:pPr>
        <w:spacing w:after="0" w:line="165"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26"/>
        </w:numPr>
        <w:rPr>
          <w:rFonts w:ascii="Arial" w:cs="Arial" w:eastAsia="Arial" w:hAnsi="Arial"/>
          <w:sz w:val="17"/>
          <w:szCs w:val="17"/>
          <w:color w:val="auto"/>
        </w:rPr>
      </w:pPr>
      <w:r>
        <w:rPr>
          <w:rFonts w:ascii="Arial" w:cs="Arial" w:eastAsia="Arial" w:hAnsi="Arial"/>
          <w:sz w:val="17"/>
          <w:szCs w:val="17"/>
          <w:color w:val="auto"/>
        </w:rPr>
        <w:t>post-market surveillance, including reporting of deaths or serious injuries and malfunctions that, if they were to recur, could lead to death or serious injury;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import and export restrictions;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tariff regulations, duties and tax requirements;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registration for reimbursement;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necessity of testing performed in country by distributors for licensees.</w:t>
      </w:r>
    </w:p>
    <w:p>
      <w:pPr>
        <w:spacing w:after="0" w:line="165" w:lineRule="exact"/>
        <w:rPr>
          <w:sz w:val="20"/>
          <w:szCs w:val="20"/>
          <w:color w:val="auto"/>
        </w:rPr>
      </w:pPr>
    </w:p>
    <w:p>
      <w:pPr>
        <w:ind w:right="180" w:firstLine="309"/>
        <w:spacing w:after="0" w:line="279" w:lineRule="auto"/>
        <w:rPr>
          <w:sz w:val="20"/>
          <w:szCs w:val="20"/>
          <w:color w:val="auto"/>
        </w:rPr>
      </w:pPr>
      <w:r>
        <w:rPr>
          <w:rFonts w:ascii="Arial" w:cs="Arial" w:eastAsia="Arial" w:hAnsi="Arial"/>
          <w:sz w:val="17"/>
          <w:szCs w:val="17"/>
          <w:color w:val="auto"/>
        </w:rPr>
        <w:t>The time required to obtain clearance required by foreign countries may be longer or shorter than that required for FDA clearance, and requirements for licensing a product in a foreign country may differ significantly from FDA requirements.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expect this revised regulation to include further controls and requirements on the following activities:</w:t>
      </w:r>
    </w:p>
    <w:p>
      <w:pPr>
        <w:spacing w:after="0" w:line="165"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high level of request for premarket clinical evidence for high risk devices;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scrutiny of technical files for implantable devices;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monitoring of notified bodies, by independent auditors;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requirements regarding vigilance and product traceability (specifically related to labeling requirements);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increased regulation for non-traditional roles such as importer and distributor.</w:t>
      </w:r>
    </w:p>
    <w:p>
      <w:pPr>
        <w:spacing w:after="0" w:line="200" w:lineRule="exact"/>
        <w:rPr>
          <w:sz w:val="20"/>
          <w:szCs w:val="20"/>
          <w:color w:val="auto"/>
        </w:rPr>
      </w:pP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40"/>
          </w:cols>
          <w:pgMar w:left="320" w:top="282" w:right="6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Regions</w:t>
      </w:r>
    </w:p>
    <w:p>
      <w:pPr>
        <w:spacing w:after="0" w:line="165" w:lineRule="exact"/>
        <w:rPr>
          <w:sz w:val="20"/>
          <w:szCs w:val="20"/>
          <w:color w:val="auto"/>
        </w:rPr>
      </w:pPr>
    </w:p>
    <w:p>
      <w:pPr>
        <w:ind w:right="120" w:firstLine="309"/>
        <w:spacing w:after="0" w:line="258" w:lineRule="auto"/>
        <w:rPr>
          <w:sz w:val="20"/>
          <w:szCs w:val="20"/>
          <w:color w:val="auto"/>
        </w:rPr>
      </w:pPr>
      <w:r>
        <w:rPr>
          <w:rFonts w:ascii="Arial" w:cs="Arial" w:eastAsia="Arial" w:hAnsi="Arial"/>
          <w:sz w:val="17"/>
          <w:szCs w:val="17"/>
          <w:color w:val="auto"/>
        </w:rPr>
        <w:t>Most medical devices must undergo thorough safety examinations and demonstrate medical efficacy before they receive regulatory approval to be sold in Japan. We obtained approval from the Japanese Ministry of Health, Labor, and Welfare, or MHLW, for our AquaBeam Robotic System in February 2022. We are in the process of pursuing national reimbursement status in Japan for Aquablation therapy. Based on the reimbursement level and the market penetration for our procedure, there can be no assurance that adoption of our procedure will occur in Japan. If our procedure is not adopted and we are not successful in obtaining adequate procedure reimbursement, then the demand for our products in Japan could be limited. The process of reimbursement for surgical procedures in Japan is supported by the surgical societies.</w:t>
      </w:r>
    </w:p>
    <w:p>
      <w:pPr>
        <w:spacing w:after="0" w:line="132" w:lineRule="exact"/>
        <w:rPr>
          <w:sz w:val="20"/>
          <w:szCs w:val="20"/>
          <w:color w:val="auto"/>
        </w:rPr>
      </w:pPr>
    </w:p>
    <w:p>
      <w:pPr>
        <w:ind w:right="240" w:firstLine="309"/>
        <w:spacing w:after="0" w:line="262" w:lineRule="auto"/>
        <w:rPr>
          <w:sz w:val="20"/>
          <w:szCs w:val="20"/>
          <w:color w:val="auto"/>
        </w:rPr>
      </w:pPr>
      <w:r>
        <w:rPr>
          <w:rFonts w:ascii="Arial" w:cs="Arial" w:eastAsia="Arial" w:hAnsi="Arial"/>
          <w:sz w:val="17"/>
          <w:szCs w:val="17"/>
          <w:color w:val="auto"/>
        </w:rPr>
        <w:t>Regulations in other countries, including the requirements for approvals or clearance and the time required for regulatory review, vary from country to country. Certain countries, such as China and South Korea, have their own regulatory agencies. These countries typically require regulatory approvals and compliance with extensive safety and quality system regulations. We obtained regulatory approval from the South Korean Ministry of Food and Drug Safety, or MFDS, in February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Federal, State and Foreign Fraud and Abuse and Physician Payment Transparency Laws</w:t>
      </w:r>
    </w:p>
    <w:p>
      <w:pPr>
        <w:spacing w:after="0" w:line="153" w:lineRule="exact"/>
        <w:rPr>
          <w:sz w:val="20"/>
          <w:szCs w:val="20"/>
          <w:color w:val="auto"/>
        </w:rPr>
      </w:pPr>
    </w:p>
    <w:p>
      <w:pPr>
        <w:ind w:right="60" w:firstLine="309"/>
        <w:spacing w:after="0" w:line="266" w:lineRule="auto"/>
        <w:rPr>
          <w:sz w:val="20"/>
          <w:szCs w:val="20"/>
          <w:color w:val="auto"/>
        </w:rPr>
      </w:pPr>
      <w:r>
        <w:rPr>
          <w:rFonts w:ascii="Arial" w:cs="Arial" w:eastAsia="Arial" w:hAnsi="Arial"/>
          <w:sz w:val="17"/>
          <w:szCs w:val="17"/>
          <w:color w:val="auto"/>
        </w:rPr>
        <w:t>In addition to FDA restrictions on marketing and promotion of drugs and devices, other federal and state laws restrict our business practices. These laws include, without limitation, foreign, federal, and state anti-kickback and false claims laws, as well as transparency laws regarding payments or other items of value provided to healthcare providers.</w:t>
      </w:r>
    </w:p>
    <w:p>
      <w:pPr>
        <w:spacing w:after="0" w:line="124" w:lineRule="exact"/>
        <w:rPr>
          <w:sz w:val="20"/>
          <w:szCs w:val="20"/>
          <w:color w:val="auto"/>
        </w:rPr>
      </w:pPr>
    </w:p>
    <w:p>
      <w:pPr>
        <w:ind w:firstLine="309"/>
        <w:spacing w:after="0" w:line="253" w:lineRule="auto"/>
        <w:rPr>
          <w:sz w:val="20"/>
          <w:szCs w:val="20"/>
          <w:color w:val="auto"/>
        </w:rPr>
      </w:pPr>
      <w:r>
        <w:rPr>
          <w:rFonts w:ascii="Arial" w:cs="Arial" w:eastAsia="Arial" w:hAnsi="Arial"/>
          <w:sz w:val="17"/>
          <w:szCs w:val="17"/>
          <w:color w:val="auto"/>
        </w:rPr>
        <w:t>The federal Anti-Kickback Statute prohibits, among other things, knowingly and willfully offering, paying, soliciting or receiving any remuneration (including any kickback, bribe or rebate), directly or indirectly, overtly or covertly, in cash or in kind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including stock, stock options, and the compensation derived through ownership interests.</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Although there are a number of statutory exceptions and regulatory safe harbors protecting some common activities from prosecution, the exceptions and safe harbors are drawn narrowly. Our arrangements with physicians, hospitals and other persons or entities who are in a position to refer may not fully meet the stringent criteria specified in the various safe harbors.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its facts and circumstances and may result in increased scrutiny by government enforcement authorities. Several courts have interpreted the statute’s intent requirement to mean that if any one purpose of an arrangement involving remuneration is to induce referrals of federal healthcare covered business, the federal Anti-Kickback Statute has been violated. In addition, a person or entity does not need to have actual knowledge of the statute or specific intent to violate it in order to have committed a violation.</w:t>
      </w:r>
    </w:p>
    <w:p>
      <w:pPr>
        <w:spacing w:after="0" w:line="135" w:lineRule="exact"/>
        <w:rPr>
          <w:sz w:val="20"/>
          <w:szCs w:val="20"/>
          <w:color w:val="auto"/>
        </w:rPr>
      </w:pPr>
    </w:p>
    <w:p>
      <w:pPr>
        <w:ind w:right="440" w:firstLine="309"/>
        <w:spacing w:after="0" w:line="279" w:lineRule="auto"/>
        <w:rPr>
          <w:sz w:val="20"/>
          <w:szCs w:val="20"/>
          <w:color w:val="auto"/>
        </w:rPr>
      </w:pPr>
      <w:r>
        <w:rPr>
          <w:rFonts w:ascii="Arial" w:cs="Arial" w:eastAsia="Arial" w:hAnsi="Arial"/>
          <w:sz w:val="17"/>
          <w:szCs w:val="17"/>
          <w:color w:val="auto"/>
        </w:rPr>
        <w:t>The majority of states also have anti-kickback laws which establish similar prohibitions and, in some cases, may apply more broadly to items or services covered by any third-party payor, including commercial insurers and self-pay patients.</w:t>
      </w:r>
    </w:p>
    <w:p>
      <w:pPr>
        <w:spacing w:after="0" w:line="113"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The federal civil False Claims Act prohibits, among other things, any person or entity from knowingly presenting, or causing to be presented, a false or fraudulent claim for payment of government funds or knowingly making, using or causing to be made or used a false record or statement material to a false or fraudulent claim to the federal government. In addition, private parties may initiate “qui tam” whistleblower lawsuits against any person or entity under the federal civil False Claims Act in the name of the government and share in the proceeds of any monetary recovery. Moreover, a claim including items or services resulting from a violation of the federal Anti-Kickback Statute constitutes a false or fraudulent claim for purposes of the federal civil False Claims Act. Penalties for federal civil False Claim Act violations include penalties for each false claim, plus up to three times the amount of damages sustained by the federal government and, most critically, may provide the basis for exclusion from the federally funded healthcare program. There are also criminal penalties for making or presenting of a claim to the government knowing such claim to be false, fictitious or fraudulent.</w:t>
      </w:r>
    </w:p>
    <w:p>
      <w:pPr>
        <w:spacing w:after="0" w:line="118" w:lineRule="exact"/>
        <w:rPr>
          <w:sz w:val="20"/>
          <w:szCs w:val="20"/>
          <w:color w:val="auto"/>
        </w:rPr>
      </w:pPr>
    </w:p>
    <w:p>
      <w:pPr>
        <w:ind w:right="20" w:firstLine="309"/>
        <w:spacing w:after="0" w:line="283" w:lineRule="auto"/>
        <w:rPr>
          <w:sz w:val="20"/>
          <w:szCs w:val="20"/>
          <w:color w:val="auto"/>
        </w:rPr>
      </w:pPr>
      <w:r>
        <w:rPr>
          <w:rFonts w:ascii="Arial" w:cs="Arial" w:eastAsia="Arial" w:hAnsi="Arial"/>
          <w:sz w:val="16"/>
          <w:szCs w:val="16"/>
          <w:color w:val="auto"/>
        </w:rPr>
        <w:t>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benefits, items or services. Similar to the federal Anti-Kickback Statute, a person or entity does not need to have actual knowledge of the statute or specific intent to violate it in order to have committed a violation.</w:t>
      </w:r>
    </w:p>
    <w:p>
      <w:pPr>
        <w:spacing w:after="0" w:line="113" w:lineRule="exact"/>
        <w:rPr>
          <w:sz w:val="20"/>
          <w:szCs w:val="20"/>
          <w:color w:val="auto"/>
        </w:rPr>
      </w:pPr>
    </w:p>
    <w:p>
      <w:pPr>
        <w:ind w:firstLine="309"/>
        <w:spacing w:after="0" w:line="274" w:lineRule="auto"/>
        <w:rPr>
          <w:sz w:val="20"/>
          <w:szCs w:val="20"/>
          <w:color w:val="auto"/>
        </w:rPr>
      </w:pPr>
      <w:r>
        <w:rPr>
          <w:rFonts w:ascii="Arial" w:cs="Arial" w:eastAsia="Arial" w:hAnsi="Arial"/>
          <w:sz w:val="16"/>
          <w:szCs w:val="16"/>
          <w:color w:val="auto"/>
        </w:rPr>
        <w:t>Additionally, there has been a recent trend of increased foreign, federal, and state regulation of payments and transfers of value provided to healthcare professionals or entities. The federal Physician Payments Sunshine Act requires manufacturers of drugs, devices, biologics and medical supplies for which payment is available under Medicare, Medicaid, or the Children’s Health Insurance Program to report annually to the CMS, information related to payments or and other “transfers of value” made to physicians (currently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requires applicable manufacturers to report annually to CMS ownership and investment interests held by physicians and their immediate family members and payments or other “transfers of value” to such physician owners. Certain foreign countries and U.S. states also mandate implementation of commercial compliance programs, impose restrictions on device manufacturer marketing practices and require tracking and reporting of gifts, compensation and other remuneration to healthcare professionals and entities.</w:t>
      </w:r>
    </w:p>
    <w:p>
      <w:pPr>
        <w:spacing w:after="0" w:line="121" w:lineRule="exact"/>
        <w:rPr>
          <w:sz w:val="20"/>
          <w:szCs w:val="20"/>
          <w:color w:val="auto"/>
        </w:rPr>
      </w:pPr>
    </w:p>
    <w:p>
      <w:pPr>
        <w:ind w:right="160" w:firstLine="309"/>
        <w:spacing w:after="0" w:line="307" w:lineRule="auto"/>
        <w:rPr>
          <w:sz w:val="20"/>
          <w:szCs w:val="20"/>
          <w:color w:val="auto"/>
        </w:rPr>
      </w:pPr>
      <w:r>
        <w:rPr>
          <w:rFonts w:ascii="Arial" w:cs="Arial" w:eastAsia="Arial" w:hAnsi="Arial"/>
          <w:sz w:val="15"/>
          <w:szCs w:val="15"/>
          <w:color w:val="auto"/>
        </w:rPr>
        <w:t>Many foreign countries have similar laws relating to healthcare fraud and abuse. Foreign laws and regulations may vary greatly from country to country. For example, the advertising and promotion of our products is subject to EU Directives concerning misleading and comparative advertising and unfair commercial practices, as well as other EEA Member State legislation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316" w:lineRule="exact"/>
        <w:rPr>
          <w:sz w:val="20"/>
          <w:szCs w:val="20"/>
          <w:color w:val="auto"/>
        </w:rPr>
      </w:pPr>
    </w:p>
    <w:p>
      <w:pPr>
        <w:ind w:right="60" w:firstLine="309"/>
        <w:spacing w:after="0" w:line="246" w:lineRule="auto"/>
        <w:rPr>
          <w:sz w:val="20"/>
          <w:szCs w:val="20"/>
          <w:color w:val="auto"/>
        </w:rPr>
      </w:pPr>
      <w:r>
        <w:rPr>
          <w:rFonts w:ascii="Arial" w:cs="Arial" w:eastAsia="Arial" w:hAnsi="Arial"/>
          <w:sz w:val="17"/>
          <w:szCs w:val="17"/>
          <w:color w:val="auto"/>
        </w:rPr>
        <w:t>Violations of any of these laws or any other governmental regulations that apply may result in significant penalties including administrative, civil, and criminal damages, disgorgement, fines, additional reporting requirements and compliance oversight obligations in the event that a corporate integrity agreement or other agreement is required to resolve allegations of noncompliance with these laws, the curtailment or restructuring of operations, exclusion from participation in government healthcare programs and/or individual imprisonment,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w:t>
      </w:r>
    </w:p>
    <w:p>
      <w:pPr>
        <w:spacing w:after="0" w:line="165" w:lineRule="exact"/>
        <w:rPr>
          <w:sz w:val="20"/>
          <w:szCs w:val="20"/>
          <w:color w:val="auto"/>
        </w:rPr>
      </w:pPr>
    </w:p>
    <w:p>
      <w:pPr>
        <w:jc w:val="both"/>
        <w:ind w:right="460" w:firstLine="309"/>
        <w:spacing w:after="0" w:line="266" w:lineRule="auto"/>
        <w:rPr>
          <w:sz w:val="20"/>
          <w:szCs w:val="20"/>
          <w:color w:val="auto"/>
        </w:rPr>
      </w:pPr>
      <w:r>
        <w:rPr>
          <w:rFonts w:ascii="Arial" w:cs="Arial" w:eastAsia="Arial" w:hAnsi="Arial"/>
          <w:sz w:val="17"/>
          <w:szCs w:val="17"/>
          <w:color w:val="auto"/>
        </w:rPr>
        <w:t>In the United States, there have been, and may continue to be, a number of legislative and regulatory changes to the healthcare system. Federal and state lawmakers regularly propose and, at times, enact legislation that would result in significant changes to the healthcare system, some of which are intended to contain or reduce the costs of medical products and services.</w:t>
      </w:r>
    </w:p>
    <w:p>
      <w:pPr>
        <w:spacing w:after="0" w:line="124" w:lineRule="exact"/>
        <w:rPr>
          <w:sz w:val="20"/>
          <w:szCs w:val="20"/>
          <w:color w:val="auto"/>
        </w:rPr>
      </w:pPr>
    </w:p>
    <w:p>
      <w:pPr>
        <w:ind w:right="20" w:firstLine="309"/>
        <w:spacing w:after="0" w:line="256" w:lineRule="auto"/>
        <w:rPr>
          <w:sz w:val="20"/>
          <w:szCs w:val="20"/>
          <w:color w:val="auto"/>
        </w:rPr>
      </w:pPr>
      <w:r>
        <w:rPr>
          <w:rFonts w:ascii="Arial" w:cs="Arial" w:eastAsia="Arial" w:hAnsi="Arial"/>
          <w:sz w:val="17"/>
          <w:szCs w:val="17"/>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from February 15, 2021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32"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the Budget Control Act of 2011, among other things, and in connection with subsequent legislation, reduced Medicare payments to providers which went into effect on April 1, 2013 and, due to subsequent legislative amendments to the statute, will remain in effect through 2030, with the exception of a temporary suspension from May 1, 2020 through March 31, 2022,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 The current presidential administration and Congress may continue to pursue significant changes to the current healthcare laws.</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66" w:lineRule="exact"/>
        <w:rPr>
          <w:sz w:val="20"/>
          <w:szCs w:val="20"/>
          <w:color w:val="auto"/>
        </w:rPr>
      </w:pPr>
    </w:p>
    <w:p>
      <w:pPr>
        <w:ind w:right="20" w:firstLine="309"/>
        <w:spacing w:after="0" w:line="256" w:lineRule="auto"/>
        <w:rPr>
          <w:sz w:val="20"/>
          <w:szCs w:val="20"/>
          <w:color w:val="auto"/>
        </w:rPr>
      </w:pPr>
      <w:r>
        <w:rPr>
          <w:rFonts w:ascii="Arial" w:cs="Arial" w:eastAsia="Arial" w:hAnsi="Arial"/>
          <w:sz w:val="17"/>
          <w:szCs w:val="17"/>
          <w:color w:val="auto"/>
        </w:rPr>
        <w:t>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and consumer protection laws and regulations that govern the collection, use, disclosure, and protection of health-related and other personal information could apply to our operations or the operations of our partners. In addition, certain foreign laws govern the privacy and security of personal information, including health-related information in certain circumstances,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Anti-Bribery and Corruption Laws</w:t>
      </w:r>
    </w:p>
    <w:p>
      <w:pPr>
        <w:spacing w:after="0" w:line="165" w:lineRule="exact"/>
        <w:rPr>
          <w:sz w:val="20"/>
          <w:szCs w:val="20"/>
          <w:color w:val="auto"/>
        </w:rPr>
      </w:pPr>
    </w:p>
    <w:p>
      <w:pPr>
        <w:ind w:firstLine="309"/>
        <w:spacing w:after="0" w:line="277" w:lineRule="auto"/>
        <w:rPr>
          <w:sz w:val="20"/>
          <w:szCs w:val="20"/>
          <w:color w:val="auto"/>
        </w:rPr>
      </w:pPr>
      <w:r>
        <w:rPr>
          <w:rFonts w:ascii="Arial" w:cs="Arial" w:eastAsia="Arial" w:hAnsi="Arial"/>
          <w:sz w:val="16"/>
          <w:szCs w:val="16"/>
          <w:color w:val="auto"/>
        </w:rPr>
        <w:t>Our U.S. operations are subject to the FCPA. We are required to comply with the FCPA, which generally prohibits covered entities and their employees, agents and intermediaries from engaging in bribery or authorizing, promising, providing, or offering, directly or indirectly, anything of value to foreign officials for the purpose of obtaining or retaining business or other benefits. In addition, the FCPA imposes accounting standards and requirements on publicly traded U.S. corporations and their foreign affiliates, which requires such companies to maintain complete and accurate books and records and maintain a system of internal accounting controls. We also are subject to similar anticorruption laws and regulations implementing the Organization for Economic Co-operation and Development’s Convention on Combating Bribery of Foreign Public Officials in International Business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 and Human Capital Resources</w:t>
      </w:r>
    </w:p>
    <w:p>
      <w:pPr>
        <w:spacing w:after="0" w:line="171"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Our growing and skilled employee base drives our success and helps us progress towards our vision of restoring patient lives by delivering the BPH treatment of choice. As of December 31, 2022, we had 428 employees.</w:t>
      </w:r>
    </w:p>
    <w:p>
      <w:pPr>
        <w:spacing w:after="0" w:line="113" w:lineRule="exact"/>
        <w:rPr>
          <w:sz w:val="20"/>
          <w:szCs w:val="20"/>
          <w:color w:val="auto"/>
        </w:rPr>
      </w:pPr>
    </w:p>
    <w:p>
      <w:pPr>
        <w:ind w:right="380" w:firstLine="309"/>
        <w:spacing w:after="0" w:line="290" w:lineRule="auto"/>
        <w:rPr>
          <w:sz w:val="20"/>
          <w:szCs w:val="20"/>
          <w:color w:val="auto"/>
        </w:rPr>
      </w:pPr>
      <w:r>
        <w:rPr>
          <w:rFonts w:ascii="Arial" w:cs="Arial" w:eastAsia="Arial" w:hAnsi="Arial"/>
          <w:sz w:val="16"/>
          <w:szCs w:val="16"/>
          <w:color w:val="auto"/>
        </w:rPr>
        <w:t>Our future success depends on our ability to attract, retain, engage and further develop top talent. To facilitate talent attraction, retention, engagement and development, we strive for a diverse workplace with a superior employee experience that provides opportunities for our employees to grow within the organization, supported by strong compensation, benefits, and health and wellness programs and an inclusive environment.</w:t>
      </w:r>
    </w:p>
    <w:p>
      <w:pPr>
        <w:spacing w:after="0" w:line="107" w:lineRule="exact"/>
        <w:rPr>
          <w:sz w:val="20"/>
          <w:szCs w:val="20"/>
          <w:color w:val="auto"/>
        </w:rPr>
      </w:pPr>
    </w:p>
    <w:p>
      <w:pPr>
        <w:ind w:right="20" w:firstLine="309"/>
        <w:spacing w:after="0" w:line="266" w:lineRule="auto"/>
        <w:rPr>
          <w:sz w:val="20"/>
          <w:szCs w:val="20"/>
          <w:color w:val="auto"/>
        </w:rPr>
      </w:pPr>
      <w:r>
        <w:rPr>
          <w:rFonts w:ascii="Arial" w:cs="Arial" w:eastAsia="Arial" w:hAnsi="Arial"/>
          <w:sz w:val="17"/>
          <w:szCs w:val="17"/>
          <w:color w:val="auto"/>
        </w:rPr>
        <w:t>In 2022, we published our Environmental, Social, and Governance or ESG Report which is available on our website at and includes more detailed information on our human capital programs and initiatives. Nothing contained on or accessible through our website, including our ESG Report or sections thereof, shall be deemed incorporated by reference into this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w:t>
      </w:r>
    </w:p>
    <w:p>
      <w:pPr>
        <w:spacing w:after="0" w:line="165" w:lineRule="exact"/>
        <w:rPr>
          <w:sz w:val="20"/>
          <w:szCs w:val="20"/>
          <w:color w:val="auto"/>
        </w:rPr>
      </w:pPr>
    </w:p>
    <w:p>
      <w:pPr>
        <w:ind w:right="300" w:firstLine="309"/>
        <w:spacing w:after="0" w:line="262" w:lineRule="auto"/>
        <w:rPr>
          <w:sz w:val="20"/>
          <w:szCs w:val="20"/>
          <w:color w:val="auto"/>
        </w:rPr>
      </w:pPr>
      <w:r>
        <w:rPr>
          <w:rFonts w:ascii="Arial" w:cs="Arial" w:eastAsia="Arial" w:hAnsi="Arial"/>
          <w:sz w:val="17"/>
          <w:szCs w:val="17"/>
          <w:color w:val="auto"/>
        </w:rPr>
        <w:t>Diversity, equity and inclusion, or DEI, are pillars around which we build our organization because we strongly believe that it drives superior results – and truly reflects the communities we serve and in which we work. We believe that everyone should feel included and fairly treated, and we embrace the unique qualities of our employees including all genders and gender identities, races, ethnicities, ages, national origins, disabilities, sexual orientations, military and socioeconomic backgrounds, and religions, as well as any other protected characteristics.</w:t>
      </w:r>
    </w:p>
    <w:p>
      <w:pPr>
        <w:spacing w:after="0" w:line="126" w:lineRule="exact"/>
        <w:rPr>
          <w:sz w:val="20"/>
          <w:szCs w:val="20"/>
          <w:color w:val="auto"/>
        </w:rPr>
      </w:pPr>
    </w:p>
    <w:p>
      <w:pPr>
        <w:ind w:right="340" w:firstLine="309"/>
        <w:spacing w:after="0" w:line="279" w:lineRule="auto"/>
        <w:rPr>
          <w:sz w:val="20"/>
          <w:szCs w:val="20"/>
          <w:color w:val="auto"/>
        </w:rPr>
      </w:pPr>
      <w:r>
        <w:rPr>
          <w:rFonts w:ascii="Arial" w:cs="Arial" w:eastAsia="Arial" w:hAnsi="Arial"/>
          <w:sz w:val="17"/>
          <w:szCs w:val="17"/>
          <w:color w:val="auto"/>
        </w:rPr>
        <w:t>Additionally, from a governance perspective, we maintain a mix of skills, backgrounds and experience in our executive team and in our board to serve the needs of our diverse stakeholders.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Safety and Wellness</w:t>
      </w:r>
    </w:p>
    <w:p>
      <w:pPr>
        <w:spacing w:after="0" w:line="165" w:lineRule="exact"/>
        <w:rPr>
          <w:sz w:val="20"/>
          <w:szCs w:val="20"/>
          <w:color w:val="auto"/>
        </w:rPr>
      </w:pPr>
    </w:p>
    <w:p>
      <w:pPr>
        <w:jc w:val="both"/>
        <w:ind w:right="200" w:firstLine="309"/>
        <w:spacing w:after="0" w:line="318" w:lineRule="auto"/>
        <w:rPr>
          <w:sz w:val="20"/>
          <w:szCs w:val="20"/>
          <w:color w:val="auto"/>
        </w:rPr>
      </w:pPr>
      <w:r>
        <w:rPr>
          <w:rFonts w:ascii="Arial" w:cs="Arial" w:eastAsia="Arial" w:hAnsi="Arial"/>
          <w:sz w:val="15"/>
          <w:szCs w:val="15"/>
          <w:color w:val="auto"/>
        </w:rPr>
        <w:t>The health, safety and wellness of our employees is an area where we continued to invest and expand throughout 2022. We provide our employees and their families with access to a variety of comprehensive health, wellness and time off programs that support physical, mental, emotional and financial well-being. We have a zero-tolerance policy concerning workplace violence including any threatening behavior on our premises or during any work-related activities.</w:t>
      </w:r>
    </w:p>
    <w:p>
      <w:pPr>
        <w:spacing w:after="0" w:line="88" w:lineRule="exact"/>
        <w:rPr>
          <w:sz w:val="20"/>
          <w:szCs w:val="20"/>
          <w:color w:val="auto"/>
        </w:rPr>
      </w:pPr>
    </w:p>
    <w:p>
      <w:pPr>
        <w:ind w:right="20" w:firstLine="309"/>
        <w:spacing w:after="0" w:line="279" w:lineRule="auto"/>
        <w:rPr>
          <w:sz w:val="20"/>
          <w:szCs w:val="20"/>
          <w:color w:val="auto"/>
        </w:rPr>
      </w:pPr>
      <w:r>
        <w:rPr>
          <w:rFonts w:ascii="Arial" w:cs="Arial" w:eastAsia="Arial" w:hAnsi="Arial"/>
          <w:sz w:val="17"/>
          <w:szCs w:val="17"/>
          <w:color w:val="auto"/>
        </w:rPr>
        <w:t>We implement changes to our work environment that we determine are in the best interest of our employees and in compliance with government regulations in response to COVID-19 and other risks. We have established safety protocols</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0"/>
        <w:spacing w:after="0" w:line="443" w:lineRule="auto"/>
        <w:rPr>
          <w:sz w:val="20"/>
          <w:szCs w:val="20"/>
          <w:color w:val="auto"/>
        </w:rPr>
      </w:pPr>
      <w:r>
        <w:rPr>
          <w:rFonts w:ascii="Arial" w:cs="Arial" w:eastAsia="Arial" w:hAnsi="Arial"/>
          <w:sz w:val="17"/>
          <w:szCs w:val="17"/>
          <w:color w:val="auto"/>
        </w:rPr>
        <w:t xml:space="preserve">including personal protective equipment or PPE, screening and testing, drills and regular communications for those onsite to protect our employees as needed. </w:t>
      </w:r>
      <w:r>
        <w:rPr>
          <w:rFonts w:ascii="Arial" w:cs="Arial" w:eastAsia="Arial" w:hAnsi="Arial"/>
          <w:sz w:val="17"/>
          <w:szCs w:val="17"/>
          <w:b w:val="1"/>
          <w:bCs w:val="1"/>
          <w:i w:val="1"/>
          <w:iCs w:val="1"/>
          <w:color w:val="auto"/>
        </w:rPr>
        <w:t>Compensation and Benefits</w:t>
      </w:r>
    </w:p>
    <w:p>
      <w:pPr>
        <w:ind w:right="100" w:firstLine="309"/>
        <w:spacing w:after="0" w:line="259" w:lineRule="auto"/>
        <w:rPr>
          <w:sz w:val="20"/>
          <w:szCs w:val="20"/>
          <w:color w:val="auto"/>
        </w:rPr>
      </w:pPr>
      <w:r>
        <w:rPr>
          <w:rFonts w:ascii="Arial" w:cs="Arial" w:eastAsia="Arial" w:hAnsi="Arial"/>
          <w:sz w:val="17"/>
          <w:szCs w:val="17"/>
          <w:color w:val="auto"/>
        </w:rPr>
        <w:t>Our compensation programs are designed to align the compensation of our employees with our Company’s performance and to provide the proper incentives to attract, retain and motivate employees to achieve superior results. We believe compensation and rewards should be fair and merit based and free from discrimination on the basis of race, gender or any other protected characteristics. We provide a comprehensive suite of compensation and benefits programs including annual bonuses, equity awards, an Employee Stock Purchase Plan, retirement savings plans, healthcare, income protection benefits, paid time off, leave of absence benefits, flexible work arrangements, and numerous well-being benefits.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 Development</w:t>
      </w:r>
    </w:p>
    <w:p>
      <w:pPr>
        <w:spacing w:after="0" w:line="165" w:lineRule="exact"/>
        <w:rPr>
          <w:sz w:val="20"/>
          <w:szCs w:val="20"/>
          <w:color w:val="auto"/>
        </w:rPr>
      </w:pPr>
    </w:p>
    <w:p>
      <w:pPr>
        <w:ind w:right="340" w:firstLine="309"/>
        <w:spacing w:after="0" w:line="262" w:lineRule="auto"/>
        <w:rPr>
          <w:sz w:val="20"/>
          <w:szCs w:val="20"/>
          <w:color w:val="auto"/>
        </w:rPr>
      </w:pPr>
      <w:r>
        <w:rPr>
          <w:rFonts w:ascii="Arial" w:cs="Arial" w:eastAsia="Arial" w:hAnsi="Arial"/>
          <w:sz w:val="17"/>
          <w:szCs w:val="17"/>
          <w:color w:val="auto"/>
        </w:rPr>
        <w:t>Professional growth is a key indicator of employee satisfaction and helping our employees reach and exceed their goals helps us retain and engage our outstanding talent. We foster professional growth by providing stretch assignments, projects and manager-led coaching and mentoring to help employees meet their career goals. We continuously work on improving manager effectiveness by providing just-in-time training on people processes and build our leadership bench via a coaching program that focuses on feedback and leadership development.</w:t>
      </w:r>
    </w:p>
    <w:p>
      <w:pPr>
        <w:spacing w:after="0" w:line="126" w:lineRule="exact"/>
        <w:rPr>
          <w:sz w:val="20"/>
          <w:szCs w:val="20"/>
          <w:color w:val="auto"/>
        </w:rPr>
      </w:pPr>
    </w:p>
    <w:p>
      <w:pPr>
        <w:ind w:right="20" w:firstLine="309"/>
        <w:spacing w:after="0" w:line="266" w:lineRule="auto"/>
        <w:rPr>
          <w:sz w:val="20"/>
          <w:szCs w:val="20"/>
          <w:color w:val="auto"/>
        </w:rPr>
      </w:pPr>
      <w:r>
        <w:rPr>
          <w:rFonts w:ascii="Arial" w:cs="Arial" w:eastAsia="Arial" w:hAnsi="Arial"/>
          <w:sz w:val="17"/>
          <w:szCs w:val="17"/>
          <w:color w:val="auto"/>
        </w:rPr>
        <w:t>We have an annual global performance review process for reviewing all employees’ performance as well as an annual compensation process to review pay. To support our managers, we train them on conducting effective performance reviews and making compensation recommendations, considering market pay data, experience in role and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Engagement and Community</w:t>
      </w:r>
    </w:p>
    <w:p>
      <w:pPr>
        <w:spacing w:after="0" w:line="165" w:lineRule="exact"/>
        <w:rPr>
          <w:sz w:val="20"/>
          <w:szCs w:val="20"/>
          <w:color w:val="auto"/>
        </w:rPr>
      </w:pPr>
    </w:p>
    <w:p>
      <w:pPr>
        <w:ind w:right="440" w:firstLine="309"/>
        <w:spacing w:after="0" w:line="279" w:lineRule="auto"/>
        <w:rPr>
          <w:sz w:val="20"/>
          <w:szCs w:val="20"/>
          <w:color w:val="auto"/>
        </w:rPr>
      </w:pPr>
      <w:r>
        <w:rPr>
          <w:rFonts w:ascii="Arial" w:cs="Arial" w:eastAsia="Arial" w:hAnsi="Arial"/>
          <w:sz w:val="17"/>
          <w:szCs w:val="17"/>
          <w:color w:val="auto"/>
        </w:rPr>
        <w:t>We strive to continuously improve our employee experience to impact employee retention and engagement, and we periodically conduct an engagement survey and take actions to address areas of employee concern.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59" w:lineRule="exact"/>
        <w:rPr>
          <w:sz w:val="20"/>
          <w:szCs w:val="20"/>
          <w:color w:val="auto"/>
        </w:rPr>
      </w:pPr>
    </w:p>
    <w:p>
      <w:pPr>
        <w:ind w:right="440" w:firstLine="309"/>
        <w:spacing w:after="0" w:line="318" w:lineRule="auto"/>
        <w:rPr>
          <w:sz w:val="20"/>
          <w:szCs w:val="20"/>
          <w:color w:val="auto"/>
        </w:rPr>
      </w:pPr>
      <w:r>
        <w:rPr>
          <w:rFonts w:ascii="Arial" w:cs="Arial" w:eastAsia="Arial" w:hAnsi="Arial"/>
          <w:sz w:val="15"/>
          <w:szCs w:val="15"/>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1" w:lineRule="exact"/>
        <w:rPr>
          <w:sz w:val="20"/>
          <w:szCs w:val="20"/>
          <w:color w:val="auto"/>
        </w:rPr>
      </w:pPr>
    </w:p>
    <w:p>
      <w:pPr>
        <w:ind w:firstLine="309"/>
        <w:spacing w:after="0" w:line="290" w:lineRule="auto"/>
        <w:rPr>
          <w:sz w:val="20"/>
          <w:szCs w:val="20"/>
          <w:color w:val="auto"/>
        </w:rPr>
      </w:pPr>
      <w:r>
        <w:rPr>
          <w:rFonts w:ascii="Arial" w:cs="Arial" w:eastAsia="Arial" w:hAnsi="Arial"/>
          <w:sz w:val="16"/>
          <w:szCs w:val="16"/>
          <w:color w:val="auto"/>
        </w:rPr>
        <w:t>We make our Annual Reports on Form 10-K, Quarterly Reports on Form 10-Q, Current Reports on Form 8-K, and amendments to those reports, available free of charge at our website as soon as reasonably practicable after they have been filed with the SEC. Our website address is www.procept-biorobotics.com. Information on our website is not part of this report. The SEC maintains a website that contains the materials we file with the SEC at www.sec.gov.</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1"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Annual Report on Form 10-K, including our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17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We are an early-stage company with a history of significant net losses, we expect to continue to incur operating losses for the foreseeable future and we may not be able to achieve or sustain profitability.</w:t>
      </w:r>
    </w:p>
    <w:p>
      <w:pPr>
        <w:spacing w:after="0" w:line="113" w:lineRule="exact"/>
        <w:rPr>
          <w:sz w:val="20"/>
          <w:szCs w:val="20"/>
          <w:color w:val="auto"/>
        </w:rPr>
      </w:pPr>
    </w:p>
    <w:p>
      <w:pPr>
        <w:ind w:right="60" w:firstLine="309"/>
        <w:spacing w:after="0" w:line="276" w:lineRule="auto"/>
        <w:rPr>
          <w:sz w:val="20"/>
          <w:szCs w:val="20"/>
          <w:color w:val="auto"/>
        </w:rPr>
      </w:pPr>
      <w:r>
        <w:rPr>
          <w:rFonts w:ascii="Arial" w:cs="Arial" w:eastAsia="Arial" w:hAnsi="Arial"/>
          <w:sz w:val="16"/>
          <w:szCs w:val="16"/>
          <w:color w:val="auto"/>
        </w:rPr>
        <w:t>We have incurred significant net losses in each reporting period since our inception. For the years ended December 31, 2022 and 2021, we had a net loss of and $87.2 million and $59.9 million, respectively. We expect to continue to incur additional losses in the future. As of December 31, 2022, we had an accumulated deficit of $348.7 million. To date, we have financed our operations primarily through net proceeds from our initial public offering in September 2021 and the sale of our redeemable convertible preferred stock in private placements, indebtedness, including our loan and security agreement, and, to a lesser extent, product revenue from sales of our AquaBeam Robotic System and single-use disposable handpieces. The losses and accumulated deficit have primarily been due to the substantial investments we have made to develop our products, costs related to our sales and marketing efforts, including costs related to clinical and regulatory initiatives to obtain marketing approval, and infrastructure improvements.</w:t>
      </w:r>
    </w:p>
    <w:p>
      <w:pPr>
        <w:spacing w:after="0" w:line="118" w:lineRule="exact"/>
        <w:rPr>
          <w:sz w:val="20"/>
          <w:szCs w:val="20"/>
          <w:color w:val="auto"/>
        </w:rPr>
      </w:pPr>
    </w:p>
    <w:p>
      <w:pPr>
        <w:ind w:right="140" w:firstLine="309"/>
        <w:spacing w:after="0" w:line="277" w:lineRule="auto"/>
        <w:rPr>
          <w:sz w:val="20"/>
          <w:szCs w:val="20"/>
          <w:color w:val="auto"/>
        </w:rPr>
      </w:pPr>
      <w:r>
        <w:rPr>
          <w:rFonts w:ascii="Arial" w:cs="Arial" w:eastAsia="Arial" w:hAnsi="Arial"/>
          <w:sz w:val="16"/>
          <w:szCs w:val="16"/>
          <w:color w:val="auto"/>
        </w:rPr>
        <w:t>We may also encounter unforeseen expenses, difficulties, complications, delays and other known and unknown factors and risks frequently experienced by early-stage medical technology companies in rapidly evolving fields. In addition, as a public company, we will continue to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our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18"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b w:val="1"/>
          <w:bCs w:val="1"/>
          <w:i w:val="1"/>
          <w:iCs w:val="1"/>
          <w:color w:val="auto"/>
        </w:rPr>
        <w:t>Our revenue is primarily generated from sales of our AquaBeam Robotic System and the accompanying single-use disposable handpieces, and we are therefore highly dependent on the success of those products.</w:t>
      </w:r>
    </w:p>
    <w:p>
      <w:pPr>
        <w:spacing w:after="0" w:line="113"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To date, substantially all of our revenue has been derived, and we expect it to continue to be substantially derived, from sales of our AquaBeam Robotic System and its accompanying single-use disposable handpieces. Our products deliver our Aquablation therapy, the first and only image-guided, heat-free robotic therapy for BPH. We began commercializing our products in the United States in 2017 and physician awareness of, and experience with, our products has been and is currently limited. As a result, our products have limited product and brand recognition within the medical industry for the treatment of BPH. We do not have a long history operating as a commercial company, and the novelty of our products, together with our limited commercialization experience, makes it difficult to evaluate our current business and predict our future prospects with precision. These factors also make it difficult for us to forecast our financial performance and future growth, and such forecasts are subject to a number of uncertainties, including those outside of our control.</w:t>
      </w:r>
    </w:p>
    <w:p>
      <w:pPr>
        <w:spacing w:after="0" w:line="118" w:lineRule="exact"/>
        <w:rPr>
          <w:sz w:val="20"/>
          <w:szCs w:val="20"/>
          <w:color w:val="auto"/>
        </w:rPr>
      </w:pPr>
    </w:p>
    <w:p>
      <w:pPr>
        <w:ind w:right="120"/>
        <w:spacing w:after="0" w:line="349" w:lineRule="auto"/>
        <w:rPr>
          <w:sz w:val="20"/>
          <w:szCs w:val="20"/>
          <w:color w:val="auto"/>
        </w:rPr>
      </w:pPr>
      <w:r>
        <w:rPr>
          <w:rFonts w:ascii="Arial" w:cs="Arial" w:eastAsia="Arial" w:hAnsi="Arial"/>
          <w:sz w:val="15"/>
          <w:szCs w:val="15"/>
          <w:b w:val="1"/>
          <w:bCs w:val="1"/>
          <w:i w:val="1"/>
          <w:iCs w:val="1"/>
          <w:color w:val="auto"/>
        </w:rPr>
        <w:t>Our quarterly and annual operating results may fluctuate significantly and may not fully reflect the underlying performance of our business. This makes our future operating results difficult to predict and could cause our operating results to fall below expectations or any guidance we may provide.</w:t>
      </w:r>
    </w:p>
    <w:p>
      <w:pPr>
        <w:spacing w:after="0" w:line="66" w:lineRule="exact"/>
        <w:rPr>
          <w:sz w:val="20"/>
          <w:szCs w:val="20"/>
          <w:color w:val="auto"/>
        </w:rPr>
      </w:pPr>
    </w:p>
    <w:p>
      <w:pPr>
        <w:ind w:right="80" w:firstLine="309"/>
        <w:spacing w:after="0" w:line="258" w:lineRule="auto"/>
        <w:rPr>
          <w:sz w:val="20"/>
          <w:szCs w:val="20"/>
          <w:color w:val="auto"/>
        </w:rPr>
      </w:pPr>
      <w:r>
        <w:rPr>
          <w:rFonts w:ascii="Arial" w:cs="Arial" w:eastAsia="Arial" w:hAnsi="Arial"/>
          <w:sz w:val="17"/>
          <w:szCs w:val="17"/>
          <w:color w:val="auto"/>
        </w:rPr>
        <w:t>Our quarterly and annual results of operations, including our revenue, profitability and cash flow, may vary significantly in the future, and period-to-period comparisons of our operating results may not be meaningful. Accordingly, the results of any one quarter or period should not be relied upon as an indication of future performance. Our quarterly and annual operating results may fluctuate significantly as a result of a variety of factors, many of which are outside our control and, as a result, may not fully reflect the underlying performance of our business. Such fluctuations in quarterly and annual operating results may decrease the value of our common stock. Because our quarterly operating results may fluctuate, period-to-period comparisons may not be the best indication of the underlying results of our business and should only be</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relied upon as one factor in determining how our business is performing. These fluctuations may occur due to a variety of factors, many of which are outside of our control, including, but not limited to:</w:t>
      </w:r>
    </w:p>
    <w:p>
      <w:pPr>
        <w:spacing w:after="0" w:line="113"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level of surgeon and hospital adoption and demand for our products and Aquablation therapy;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reimbursement rates by government or commercial payors;</w:t>
      </w:r>
    </w:p>
    <w:p>
      <w:pPr>
        <w:spacing w:after="0" w:line="165"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positive or negative coverage in the media or clinical publications, or changes in public, patient and/or physician perception, of our products or competing products and treatments, including our brand reputation;</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degree of competition in our industry and any change in the competitive landscape, including consolidation among competitors or future partners;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safety, reliability or effectiveness concerns that arise regarding our products or other procedures to treat BPH;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unanticipated pricing pressures in connection with the sale of our products and downward pressure on healthcare costs in general;</w:t>
      </w:r>
    </w:p>
    <w:p>
      <w:pPr>
        <w:spacing w:after="0" w:line="165" w:lineRule="exact"/>
        <w:rPr>
          <w:rFonts w:ascii="Arial" w:cs="Arial" w:eastAsia="Arial" w:hAnsi="Arial"/>
          <w:sz w:val="17"/>
          <w:szCs w:val="17"/>
          <w:color w:val="auto"/>
        </w:rPr>
      </w:pPr>
    </w:p>
    <w:p>
      <w:pPr>
        <w:ind w:left="620" w:right="2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effectiveness of our sales and marketing efforts, including our ability to deploy a sufficient number of qualified sales representatives to sell and market our products;</w:t>
      </w:r>
    </w:p>
    <w:p>
      <w:pPr>
        <w:spacing w:after="0" w:line="112"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of customer orders or medical procedures using our products and the number of available selling days in any quarterly period, which can be impacted by holidays, the mix of products sold and the geographic mix of where products are sold;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unanticipated delays in product development or product launches;</w:t>
      </w:r>
    </w:p>
    <w:p>
      <w:pPr>
        <w:spacing w:after="0" w:line="165" w:lineRule="exact"/>
        <w:rPr>
          <w:rFonts w:ascii="Arial" w:cs="Arial" w:eastAsia="Arial" w:hAnsi="Arial"/>
          <w:sz w:val="17"/>
          <w:szCs w:val="17"/>
          <w:color w:val="auto"/>
        </w:rPr>
      </w:pPr>
    </w:p>
    <w:p>
      <w:pPr>
        <w:ind w:left="620" w:right="58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cost of manufacturing our products, which may vary depending on the quantity of production and the terms of our agreements with third-party suppliers;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raise additional capital on acceptable terms, or at all, if needed to support the commercialization of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achieve and maintain compliance with all regulatory requirements applicable to our products and services;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obtain, maintain and enforce our intellectual property rights;</w:t>
      </w:r>
    </w:p>
    <w:p>
      <w:pPr>
        <w:spacing w:after="0" w:line="165" w:lineRule="exact"/>
        <w:rPr>
          <w:rFonts w:ascii="Arial" w:cs="Arial" w:eastAsia="Arial" w:hAnsi="Arial"/>
          <w:sz w:val="17"/>
          <w:szCs w:val="17"/>
          <w:color w:val="auto"/>
        </w:rPr>
      </w:pPr>
    </w:p>
    <w:p>
      <w:pPr>
        <w:ind w:left="620" w:right="160" w:hanging="307"/>
        <w:spacing w:after="0" w:line="279" w:lineRule="auto"/>
        <w:tabs>
          <w:tab w:leader="none" w:pos="616"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and our third-party suppliers’ ability to supply the components of our products in a timely manner, in accordance with our specifications, and in compliance with applicable regulatory requirements;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introduction of new products, technologies or alternative treatments for BPH that compete with our products.</w:t>
      </w:r>
    </w:p>
    <w:p>
      <w:pPr>
        <w:spacing w:after="0" w:line="165" w:lineRule="exact"/>
        <w:rPr>
          <w:sz w:val="20"/>
          <w:szCs w:val="20"/>
          <w:color w:val="auto"/>
        </w:rPr>
      </w:pPr>
    </w:p>
    <w:p>
      <w:pPr>
        <w:jc w:val="both"/>
        <w:ind w:right="100" w:firstLine="309"/>
        <w:spacing w:after="0" w:line="318" w:lineRule="auto"/>
        <w:rPr>
          <w:sz w:val="20"/>
          <w:szCs w:val="20"/>
          <w:color w:val="auto"/>
        </w:rPr>
      </w:pPr>
      <w:r>
        <w:rPr>
          <w:rFonts w:ascii="Arial" w:cs="Arial" w:eastAsia="Arial" w:hAnsi="Arial"/>
          <w:sz w:val="15"/>
          <w:szCs w:val="15"/>
          <w:color w:val="auto"/>
        </w:rPr>
        <w:t>The cumulative effects of these factors could result in large fluctuations and unpredictability in our quarterly and annual operating results. If our assumptions regarding the risks and uncertainties we face, which we use to plan our business, are incorrect or change due to circumstances in our business or our markets, or if we do not address these risks successfully, our operating and financial results could deviate materially from our expectations and our business could suffer.</w:t>
      </w:r>
    </w:p>
    <w:p>
      <w:pPr>
        <w:spacing w:after="0" w:line="88" w:lineRule="exact"/>
        <w:rPr>
          <w:sz w:val="20"/>
          <w:szCs w:val="20"/>
          <w:color w:val="auto"/>
        </w:rPr>
      </w:pPr>
    </w:p>
    <w:p>
      <w:pPr>
        <w:jc w:val="both"/>
        <w:ind w:right="80" w:firstLine="309"/>
        <w:spacing w:after="0" w:line="266" w:lineRule="auto"/>
        <w:rPr>
          <w:sz w:val="20"/>
          <w:szCs w:val="20"/>
          <w:color w:val="auto"/>
        </w:rPr>
      </w:pPr>
      <w:r>
        <w:rPr>
          <w:rFonts w:ascii="Arial" w:cs="Arial" w:eastAsia="Arial" w:hAnsi="Arial"/>
          <w:sz w:val="17"/>
          <w:szCs w:val="17"/>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24" w:lineRule="exact"/>
        <w:rPr>
          <w:sz w:val="20"/>
          <w:szCs w:val="20"/>
          <w:color w:val="auto"/>
        </w:rPr>
      </w:pPr>
    </w:p>
    <w:p>
      <w:pPr>
        <w:ind w:right="180"/>
        <w:spacing w:after="0" w:line="349" w:lineRule="auto"/>
        <w:rPr>
          <w:sz w:val="20"/>
          <w:szCs w:val="20"/>
          <w:color w:val="auto"/>
        </w:rPr>
      </w:pPr>
      <w:r>
        <w:rPr>
          <w:rFonts w:ascii="Arial" w:cs="Arial" w:eastAsia="Arial" w:hAnsi="Arial"/>
          <w:sz w:val="15"/>
          <w:szCs w:val="15"/>
          <w:b w:val="1"/>
          <w:bCs w:val="1"/>
          <w:i w:val="1"/>
          <w:iCs w:val="1"/>
          <w:color w:val="auto"/>
        </w:rPr>
        <w:t>The terms of our loan and security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6" w:lineRule="exact"/>
        <w:rPr>
          <w:sz w:val="20"/>
          <w:szCs w:val="20"/>
          <w:color w:val="auto"/>
        </w:rPr>
      </w:pPr>
    </w:p>
    <w:p>
      <w:pPr>
        <w:ind w:right="20" w:firstLine="309"/>
        <w:spacing w:after="0" w:line="283" w:lineRule="auto"/>
        <w:rPr>
          <w:sz w:val="20"/>
          <w:szCs w:val="20"/>
          <w:color w:val="auto"/>
        </w:rPr>
      </w:pPr>
      <w:r>
        <w:rPr>
          <w:rFonts w:ascii="Arial" w:cs="Arial" w:eastAsia="Arial" w:hAnsi="Arial"/>
          <w:sz w:val="16"/>
          <w:szCs w:val="16"/>
          <w:color w:val="auto"/>
        </w:rPr>
        <w:t>As of December 31, 2022, we had $52.0 million outstanding in the form of a term loan under our loan and security agreement with Canadian Imperial Bank of Commerce, which was entered into in October 2022. The loan is secured by substantially all of our assets, including all of the capital stock held by us, if any. The loan and security agreement contains a number of restrictive covenants, and the terms may restrict our current and future operations, particularly our ability to respond to certain changes in our business or industry, or take future actions. See the section of this Annual Report on</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Form 10-K titled “Management’s Discussion and Analysis of Financial Condition and Results of Operations—Liquidity and Capital Resources—Indebtedness.”</w:t>
      </w:r>
    </w:p>
    <w:p>
      <w:pPr>
        <w:spacing w:after="0" w:line="177"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The loan and security agreement contains customary representations and warranties and affirmative covenants and also contains certain restrictive covenants, including, among others, limitations on: the incurrence of additional debt, liens or other encumbrances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loan and security agreement also includes financial covenants if we maintain less than $100.0 million in available cash that would require us to, among other things, either meet certain revenue targets detailed in an approved forecast or maintain a minimum amount of unrestricted cash. The loan and security agreement also contains customary events of default. If we fail to comply with such covenants, payments or other terms of the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loan and security agreement. If the debt under the loan and security agreement were accelerated, we may not have sufficient cash or be able to sell sufficient assets to repay this debt, which would harm our business and financial condition.</w:t>
      </w:r>
    </w:p>
    <w:p>
      <w:pPr>
        <w:spacing w:after="0" w:line="12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We may need additional funding to finance our planned operations, and may not be able to raise capital when needed, which could force us to delay, reduce or eliminate one or more of our product development programs and future commercialization efforts.</w:t>
      </w:r>
    </w:p>
    <w:p>
      <w:pPr>
        <w:spacing w:after="0" w:line="113" w:lineRule="exact"/>
        <w:rPr>
          <w:sz w:val="20"/>
          <w:szCs w:val="20"/>
          <w:color w:val="auto"/>
        </w:rPr>
      </w:pPr>
    </w:p>
    <w:p>
      <w:pPr>
        <w:ind w:right="220" w:firstLine="309"/>
        <w:spacing w:after="0" w:line="256" w:lineRule="auto"/>
        <w:rPr>
          <w:sz w:val="20"/>
          <w:szCs w:val="20"/>
          <w:color w:val="auto"/>
        </w:rPr>
      </w:pPr>
      <w:r>
        <w:rPr>
          <w:rFonts w:ascii="Arial" w:cs="Arial" w:eastAsia="Arial" w:hAnsi="Arial"/>
          <w:sz w:val="17"/>
          <w:szCs w:val="17"/>
          <w:color w:val="auto"/>
        </w:rPr>
        <w:t>Since our inception, we have incurred significant net losses and expect to continue to incur net losses for the foreseeable future. Since our inception, our operations have been financed primarily by net proceeds from our initial public offering in September 2021 and the sale of our redeemable convertible preferred stock in private placements, indebtedness and, to a lesser extent, product revenue from sales of our AquaBeam Robotic System and single-use disposable handpieces. As of December 31, 2022, we had $221.9 million in cash and cash equivalents, and an accumulated deficit of $348.7 million. Based on our current operating plan, we currently believe that our cash and cash equivalents and anticipated revenue will be sufficient to meet our capital requirements and fund our operations through at least the next 12 months. However, we have based these estimates on assumptions that may prove to be wrong, and we could utilize our available capital resources sooner than we currently expect. Changing circumstances could result in lower revenues or cause us to consume capital significantly faster than we currently anticipate, and we may need to raise capital sooner or in greater amounts than currently expected because of circumstances beyond our control.</w:t>
      </w:r>
    </w:p>
    <w:p>
      <w:pPr>
        <w:spacing w:after="0" w:line="135" w:lineRule="exact"/>
        <w:rPr>
          <w:sz w:val="20"/>
          <w:szCs w:val="20"/>
          <w:color w:val="auto"/>
        </w:rPr>
      </w:pPr>
    </w:p>
    <w:p>
      <w:pPr>
        <w:ind w:right="120" w:firstLine="309"/>
        <w:spacing w:after="0" w:line="258" w:lineRule="auto"/>
        <w:rPr>
          <w:sz w:val="20"/>
          <w:szCs w:val="20"/>
          <w:color w:val="auto"/>
        </w:rPr>
      </w:pPr>
      <w:r>
        <w:rPr>
          <w:rFonts w:ascii="Arial" w:cs="Arial" w:eastAsia="Arial" w:hAnsi="Arial"/>
          <w:sz w:val="17"/>
          <w:szCs w:val="17"/>
          <w:color w:val="auto"/>
        </w:rPr>
        <w:t>We may require additional capital in the future as we expect to continue to expand our sales and marketing organization, invest in clinical trials and registries that are designed to provide clinical evidence of the safety and efficacy of our products and research and development of product improvements and future products. Moreover, we expect to continue to incur additional expenses associated with operating as a public company, including legal, accounting, insurance, exchange listing and SEC compliance, investor relations and other expenses.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32" w:lineRule="exact"/>
        <w:rPr>
          <w:sz w:val="20"/>
          <w:szCs w:val="20"/>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degree and rate of market acceptance of our current and future products and Aquablation therapy;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and timing of investment in our sales force and expansion of our commercial organization;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on our business from the COVID-19 pandemic or any other pandemic, epidemic or outbreak of an infectious disease;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rate of progress and cost of our current or future clinical trials and registries;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 and timing of additional regulatory clearances or approvals;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costs associated with any product recall that may occur;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costs associated with the manufacturing of our products at increased production levels;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costs of attaining, defending and enforcing our intellectual property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we acquire third-party companies, products or technologies;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terms and timing of any other collaborative, licensing and other arrangements that we may establish;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emergence of competing technologies or other adverse market developments;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rate at which we expand internationally.</w:t>
      </w:r>
    </w:p>
    <w:p>
      <w:pPr>
        <w:spacing w:after="0" w:line="165"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our prior offerings.</w:t>
      </w:r>
    </w:p>
    <w:p>
      <w:pPr>
        <w:spacing w:after="0" w:line="133" w:lineRule="exact"/>
        <w:rPr>
          <w:sz w:val="20"/>
          <w:szCs w:val="20"/>
          <w:color w:val="auto"/>
        </w:rPr>
      </w:pPr>
    </w:p>
    <w:p>
      <w:pPr>
        <w:ind w:right="220" w:firstLine="309"/>
        <w:spacing w:after="0" w:line="275" w:lineRule="auto"/>
        <w:rPr>
          <w:sz w:val="20"/>
          <w:szCs w:val="20"/>
          <w:color w:val="auto"/>
        </w:rPr>
      </w:pPr>
      <w:r>
        <w:rPr>
          <w:rFonts w:ascii="Arial" w:cs="Arial" w:eastAsia="Arial" w:hAnsi="Arial"/>
          <w:sz w:val="16"/>
          <w:szCs w:val="16"/>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For example, our current loan and security agreement prohibits us from incurring additional indebtedness without the prior written consent of our lender. In the event that we enter into collaborations or licensing arrangements to raise capital, we may be required to accept unfavorable terms, such as relinquishment or licensing of certain technologies or products that we otherwise would seek to develop or commercialize ourselves, or reserve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18" w:lineRule="exact"/>
        <w:rPr>
          <w:sz w:val="20"/>
          <w:szCs w:val="20"/>
          <w:color w:val="auto"/>
        </w:rPr>
      </w:pPr>
    </w:p>
    <w:p>
      <w:pPr>
        <w:ind w:right="60" w:firstLine="309"/>
        <w:spacing w:after="0" w:line="283" w:lineRule="auto"/>
        <w:rPr>
          <w:sz w:val="20"/>
          <w:szCs w:val="20"/>
          <w:color w:val="auto"/>
        </w:rPr>
      </w:pPr>
      <w:r>
        <w:rPr>
          <w:rFonts w:ascii="Arial" w:cs="Arial" w:eastAsia="Arial" w:hAnsi="Arial"/>
          <w:sz w:val="16"/>
          <w:szCs w:val="16"/>
          <w:color w:val="auto"/>
        </w:rPr>
        <w:t>If we are unable to obtain adequate financing on terms satisfactory to us when we require it, we may be required to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11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The commercial success of our AquaBeam Robotic System and Aquablation therapy will depend upon the degree of market acceptance of our products among hospitals, surgeons and patients.</w:t>
      </w:r>
    </w:p>
    <w:p>
      <w:pPr>
        <w:spacing w:after="0" w:line="113" w:lineRule="exact"/>
        <w:rPr>
          <w:sz w:val="20"/>
          <w:szCs w:val="20"/>
          <w:color w:val="auto"/>
        </w:rPr>
      </w:pPr>
    </w:p>
    <w:p>
      <w:pPr>
        <w:ind w:firstLine="309"/>
        <w:spacing w:after="0" w:line="274" w:lineRule="auto"/>
        <w:rPr>
          <w:sz w:val="20"/>
          <w:szCs w:val="20"/>
          <w:color w:val="auto"/>
        </w:rPr>
      </w:pPr>
      <w:r>
        <w:rPr>
          <w:rFonts w:ascii="Arial" w:cs="Arial" w:eastAsia="Arial" w:hAnsi="Arial"/>
          <w:sz w:val="16"/>
          <w:szCs w:val="16"/>
          <w:color w:val="auto"/>
        </w:rPr>
        <w:t>Our success will depend, in large part, on the acceptance of our AquaBeam Robotic System as safe, effective, reliable and durable and, with respect to hospitals, healthcare providers and patients, as cost-effective. We believe Aquablation therapy represents a new approach for treating BPH, employing a computer-assisted patient-specific visualization system, a heat-free waterjet and automated robotic system to target and remove prostate tissue. We believe that market acceptance will be driven primarily by surgeons and hospitals, and if they do not adopt the concept of computer-assisted robotics-enabled technology and perceive such technology as having significant advantages over other surgical alternatives, patients will be less likely to accept or be offered Aquablation therapy and we will fail to meet our business objectives. Surgeons’ and hospitals’ perceptions of such technology having significant advantages are likely to be based on a determination that, among other factors, our products are safe, cost-effective and represent acceptable methods of treatment. Even if we can prove the effectiveness of Aquablation therapy through clinical trials, there may not be broad adoption and use of our products and surgeons may elect not to use our products for any number of other reasons, including:</w:t>
      </w:r>
    </w:p>
    <w:p>
      <w:pPr>
        <w:spacing w:after="0" w:line="121"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lack of experience with our products and concerns that we are relatively new to market;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perceived liability risk generally associated with the use of new products and treatment options;</w:t>
      </w:r>
    </w:p>
    <w:p>
      <w:pPr>
        <w:spacing w:after="0" w:line="165"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lack or perceived lack of sufficient clinical evidence, including long-term data, supporting clinical benefits or the cost-effectiveness of our products over existing treatment alternatives;</w:t>
      </w:r>
    </w:p>
    <w:p>
      <w:pPr>
        <w:spacing w:after="0" w:line="112"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failure of key opinion leaders to provide recommendations regarding our products, or to assure surgeons, patients and healthcare payors of the benefits of our products as an attractive alternative to other treatment options;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perception that our products are unproven;</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long-standing relationships with companies and distributors that sell other products or treatment options for BPH;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concerns over the capital investment required to purchase our AquaBeam Robotic System and perform Aquablation therapy procedures;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lack of availability of adequate third-party payor coverage or reimbursement;</w:t>
      </w:r>
    </w:p>
    <w:p>
      <w:pPr>
        <w:spacing w:after="0" w:line="165"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pricing pressure, including from Group Purchasing Organizations, or GPOs, and Integrated Delivery Networks, or IDNs, seeking to obtain discounts on our AquaBeam Robotic System based on the collective buying power of the GPO and IDN members;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competitive response and negative selling efforts from providers of alternative treatments;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cleared or approved by the FDA or other authorities.</w:t>
      </w:r>
    </w:p>
    <w:p>
      <w:pPr>
        <w:spacing w:after="0" w:line="165"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Even if our AquaBeam Robotic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hospitals, surgeons and patients will accept our AquaBeam Robotic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32"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We have limited experience in training and marketing and selling our products and we may provide inadequate training, fail to increase our sales and marketing capabilities or fail to develop and maintain broad brand awareness in a cost-effective manner.</w:t>
      </w:r>
    </w:p>
    <w:p>
      <w:pPr>
        <w:spacing w:after="0" w:line="113" w:lineRule="exact"/>
        <w:rPr>
          <w:sz w:val="20"/>
          <w:szCs w:val="20"/>
          <w:color w:val="auto"/>
        </w:rPr>
      </w:pPr>
    </w:p>
    <w:p>
      <w:pPr>
        <w:ind w:right="60" w:firstLine="309"/>
        <w:spacing w:after="0" w:line="277" w:lineRule="auto"/>
        <w:rPr>
          <w:sz w:val="20"/>
          <w:szCs w:val="20"/>
          <w:color w:val="auto"/>
        </w:rPr>
      </w:pPr>
      <w:r>
        <w:rPr>
          <w:rFonts w:ascii="Arial" w:cs="Arial" w:eastAsia="Arial" w:hAnsi="Arial"/>
          <w:sz w:val="16"/>
          <w:szCs w:val="16"/>
          <w:color w:val="auto"/>
        </w:rPr>
        <w:t>We have limited experience marketing and selling our products. We currently rely on our direct sales force and distributors to sell our products in targeted geographic regions and territories, and any failure to maintain and grow our direct sales force and distributor relationships could harm our business. The members of our direct sales force are adequately trained and possess technical expertise, which we believe is critical in driving the awareness and adoption of our products. The members of our U.S. sales force are at-will employees. The loss of these personnel to competitors, or otherwise, could materially harm our business. If we are unable to retain our direct sales force personnel or replace them with individuals of comparable expertise and qualifications, or if we are unable to successfully instill such expertise in replacement personnel, our product sales, revenues and results of operations could be materially harmed.</w:t>
      </w:r>
    </w:p>
    <w:p>
      <w:pPr>
        <w:spacing w:after="0" w:line="118"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color w:val="auto"/>
        </w:rPr>
        <w:t>In order to generate future growth, we plan to continue to significantly expand and leverage our commercial infrastructure to increase our customer base and increase awareness and adoption by existing customers to drive our growth. Identifying and recruiting qualified sales and marketing professionals and training them on our products and Aquablation therapy, on applicable federal and state laws and regulations and on our internal policies and procedures requires significant time, expense and attention. It can take several months or more before a sales representative is fully trained and productive. Our sales force may subject us to higher fixed costs than those of companies with competing products or treatments that can utilize independent third parties, placing us at a competitive disadvantage. Our business may be harmed if our efforts to expand and train our sales force do not generate a corresponding increase in product sales and revenue, and our higher fixed costs may slow our ability to reduce costs in the face of a sudden decline in demand for our products. Any failure to hire, develop and retain talented sales personnel, to achieve desired productivity levels in a reasonable period of time or timely reduce fixed costs, could have material adverse effect on our business, financial condition and results of operations.</w:t>
      </w:r>
    </w:p>
    <w:p>
      <w:pPr>
        <w:spacing w:after="0" w:line="121" w:lineRule="exact"/>
        <w:rPr>
          <w:sz w:val="20"/>
          <w:szCs w:val="20"/>
          <w:color w:val="auto"/>
        </w:rPr>
      </w:pPr>
    </w:p>
    <w:p>
      <w:pPr>
        <w:ind w:right="20" w:firstLine="309"/>
        <w:spacing w:after="0" w:line="297" w:lineRule="auto"/>
        <w:rPr>
          <w:sz w:val="20"/>
          <w:szCs w:val="20"/>
          <w:color w:val="auto"/>
        </w:rPr>
      </w:pPr>
      <w:r>
        <w:rPr>
          <w:rFonts w:ascii="Arial" w:cs="Arial" w:eastAsia="Arial" w:hAnsi="Arial"/>
          <w:sz w:val="15"/>
          <w:szCs w:val="15"/>
          <w:color w:val="auto"/>
        </w:rPr>
        <w:t>Our ability to increase our customer base and achieve broader market acceptance of our products will depend, to a significant extent, on our ability to expand our sales and marketing and educational efforts. We plan to dedicate significant resources to our sales and marketing and educational programs. Our business may be harmed if these efforts and expenditures do not generate a corresponding increase in revenue. In addition, we believe that developing and maintaining broad awareness of our Aquablation therapy in a cost-effective manner is critical to achieving broad acceptance of our products and reaching new physicians, hospitals and patients. Promotion and educational activities may not generate hospital or surgeon awareness or increase revenue, and even if they do, any increase in revenue may not offset the costs and expenses we incur. If we fail to successfully promote Aquablation therapy in a cost-effective manner, we may fail to attract or retain the market acceptance necessary to realize a sufficient return on our promotional and educational efforts, or to achieve broad adoption of our products.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third-party distributors to effectively distribute our products in certain markets.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80" w:firstLine="619"/>
        <w:spacing w:after="0" w:line="238" w:lineRule="auto"/>
        <w:rPr>
          <w:sz w:val="20"/>
          <w:szCs w:val="20"/>
          <w:color w:val="auto"/>
        </w:rPr>
      </w:pPr>
      <w:r>
        <w:rPr>
          <w:rFonts w:ascii="Arial" w:cs="Arial" w:eastAsia="Arial" w:hAnsi="Arial"/>
          <w:sz w:val="17"/>
          <w:szCs w:val="17"/>
          <w:color w:val="auto"/>
        </w:rPr>
        <w:t>We depend or expect to depend in the future on qualified distributors for the marketing and selling of our products in certain markets, namely in Spain, Italy, Portugal, Israel, Lebanon, Hong Kong and South Korea. If our distributors fail to effectively market and sell our AquaBeam Robotic System in full compliance with applicable laws, our operating results and business may suffer. Screening, recruiting and retaining qualified third-party distributors and training them in our technology and product offering and business practices requires significant time and resources. To develop and expand our distribution, we may be required to scale and improve our processes and procedures that support our distributors. Further, if our relationship with a successful distributor terminates, we may be unable to replace that distributor without disruption to our business. If we fail to develop or maintain positive relationships with our distributors, including in new markets, fail to manage, train or incentivize these distributors effectively, or fail to provide distributors with competitive products on attractive terms, or if these distributors are not successful in their sales efforts, we may not achieve expected revenues or may have a reduction in revenue and our operating results, reputation and business would be harmed.</w:t>
      </w:r>
    </w:p>
    <w:p>
      <w:pPr>
        <w:spacing w:after="0" w:line="15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We may not be able to obtain or maintain adequate levels of third-party coverage and reimbursement, and third parties may rescind or modify their coverage or delay payments related to our products.</w:t>
      </w:r>
    </w:p>
    <w:p>
      <w:pPr>
        <w:spacing w:after="0" w:line="113" w:lineRule="exact"/>
        <w:rPr>
          <w:sz w:val="20"/>
          <w:szCs w:val="20"/>
          <w:color w:val="auto"/>
        </w:rPr>
      </w:pPr>
    </w:p>
    <w:p>
      <w:pPr>
        <w:ind w:right="160" w:firstLine="309"/>
        <w:spacing w:after="0" w:line="279" w:lineRule="auto"/>
        <w:rPr>
          <w:sz w:val="20"/>
          <w:szCs w:val="20"/>
          <w:color w:val="auto"/>
        </w:rPr>
      </w:pPr>
      <w:r>
        <w:rPr>
          <w:rFonts w:ascii="Arial" w:cs="Arial" w:eastAsia="Arial" w:hAnsi="Arial"/>
          <w:sz w:val="16"/>
          <w:szCs w:val="16"/>
          <w:color w:val="auto"/>
        </w:rPr>
        <w:t>We derive the majority of our revenue from sales of our AquaBeam Robotic System and single-use disposable handpieces to hospitals. Sales of our products will depend, in part, on the extent to which the procedures using our products are covered and reimbursed by third-party payors, including private insurers and government healthcare programs. Even if a third-party payor covers a particular treatment that uses our products, the resulting reimbursement rate may not be adequate to cover a provider’s cost to purchase our products or ensure such purchase is profitable for the provider. As a result, access to adequate coverage and reimbursement for our products by third-party payors is essential to the acceptance and adoption of our products.</w:t>
      </w:r>
    </w:p>
    <w:p>
      <w:pPr>
        <w:spacing w:after="0" w:line="117" w:lineRule="exact"/>
        <w:rPr>
          <w:sz w:val="20"/>
          <w:szCs w:val="20"/>
          <w:color w:val="auto"/>
        </w:rPr>
      </w:pPr>
    </w:p>
    <w:p>
      <w:pPr>
        <w:ind w:right="200" w:firstLine="309"/>
        <w:spacing w:after="0" w:line="279" w:lineRule="auto"/>
        <w:rPr>
          <w:sz w:val="20"/>
          <w:szCs w:val="20"/>
          <w:color w:val="auto"/>
        </w:rPr>
      </w:pPr>
      <w:r>
        <w:rPr>
          <w:rFonts w:ascii="Arial" w:cs="Arial" w:eastAsia="Arial" w:hAnsi="Arial"/>
          <w:sz w:val="17"/>
          <w:szCs w:val="17"/>
          <w:color w:val="auto"/>
        </w:rPr>
        <w:t>Coverage and reimbursement by governmental and third-party payors may depend upon a number of factors, including the determination that the product or service and its use or administration for a particular patient is:</w:t>
      </w:r>
    </w:p>
    <w:p>
      <w:pPr>
        <w:spacing w:after="0" w:line="113"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covered benefit;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safe, effective and medically necessary;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appropriate for the specific patient;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supported by guidelines established by the relevant professional societies;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cost-effective;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neither experimental nor investigational.</w:t>
      </w:r>
    </w:p>
    <w:p>
      <w:pPr>
        <w:spacing w:after="0" w:line="165" w:lineRule="exact"/>
        <w:rPr>
          <w:sz w:val="20"/>
          <w:szCs w:val="20"/>
          <w:color w:val="auto"/>
        </w:rPr>
      </w:pPr>
    </w:p>
    <w:p>
      <w:pPr>
        <w:ind w:firstLine="309"/>
        <w:spacing w:after="0" w:line="293" w:lineRule="auto"/>
        <w:rPr>
          <w:sz w:val="20"/>
          <w:szCs w:val="20"/>
          <w:color w:val="auto"/>
        </w:rPr>
      </w:pPr>
      <w:r>
        <w:rPr>
          <w:rFonts w:ascii="Arial" w:cs="Arial" w:eastAsia="Arial" w:hAnsi="Arial"/>
          <w:sz w:val="15"/>
          <w:szCs w:val="15"/>
          <w:color w:val="auto"/>
        </w:rPr>
        <w:t>Our customers typically bill third-party payors for the costs and fees associated with the procedures in which our products are used. Effective January 1, 2020, hospitals receive an additional payment for the single-use handpiece when performing Aquablation therapy on Medicare patients in the hospital outpatient setting, which has been extended until December 31, 2023. When that payment expires, hospitals will no longer receive separate reimbursement for our device and instead, receive a single bundled payment rate intended to cover the costs of all items and services, including our products, used during the Aquablation therapy. Some of our target customers may be unwilling to adopt our products in light of potential additional associated cost. In addition, customers that perform the procedure may be subject to reimbursement claim denials upon submission of the claim. Customers may also be subject to recovery of overpayments if a payor makes payment for the claim and subsequently determines that the payor’s coding, billing or coverage policies were not followed. These events, or any other decline in the amount payors are willing to reimburse our customers, could make it difficult for existing customers to continue using or to adopt our products and could create additional pricing pressure for us. If we are forced to lower the price we charge for our products, our gross margins will decrease, which could have a material adverse effect on our business, financial condition and results of operations and impair our ability to grow our business.</w:t>
      </w:r>
    </w:p>
    <w:p>
      <w:pPr>
        <w:spacing w:after="0" w:line="112" w:lineRule="exact"/>
        <w:rPr>
          <w:sz w:val="20"/>
          <w:szCs w:val="20"/>
          <w:color w:val="auto"/>
        </w:rPr>
      </w:pPr>
    </w:p>
    <w:p>
      <w:pPr>
        <w:ind w:right="60" w:firstLine="309"/>
        <w:spacing w:after="0" w:line="258"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by limiting coverage and the amount of reimbursement for particular products. In addition, no uniform policy of coverage and reimbursement for procedures using our products exists among third-party payors. Therefore, coverage and reimbursement for procedures using our products can differ significantly from payor to payor. Obtaining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Payors continually review new and existing technologies for possible coverage and can, without notice, deny or reverse coverage for new or existing products and procedures. There can be no assurance that third-party payor policies will provide coverage for procedures in which our products are used. Many third-party payors do not currently cover our products and the related procedures because they have determined that our products and the related procedures are experimental or investigational. When our products and the related procedures are reimbursed, they are reimbursed primarily on a per-patient prior authorization basis for patients covered by commercial insurers.</w:t>
      </w:r>
    </w:p>
    <w:p>
      <w:pPr>
        <w:spacing w:after="0" w:line="131" w:lineRule="exact"/>
        <w:rPr>
          <w:sz w:val="20"/>
          <w:szCs w:val="20"/>
          <w:color w:val="auto"/>
        </w:rPr>
      </w:pPr>
    </w:p>
    <w:p>
      <w:pPr>
        <w:ind w:right="60" w:firstLine="309"/>
        <w:spacing w:after="0" w:line="256" w:lineRule="auto"/>
        <w:rPr>
          <w:sz w:val="20"/>
          <w:szCs w:val="20"/>
          <w:color w:val="auto"/>
        </w:rPr>
      </w:pPr>
      <w:r>
        <w:rPr>
          <w:rFonts w:ascii="Arial" w:cs="Arial" w:eastAsia="Arial" w:hAnsi="Arial"/>
          <w:sz w:val="17"/>
          <w:szCs w:val="17"/>
          <w:color w:val="auto"/>
        </w:rPr>
        <w:t>Further, we believe that future coverage and reimbursement may be subject to increased restrictions, such as additional prior authorization requirements, both in the United States and in relevant international markets in which we plan to operate. If Medicare no longer covers any of our products, there would be a material adverse effect on our business, financial condition and results of operations. In addition, Medicare Administrative Contractors could issue a local coverage determination decision that could restrict the patients eligible for the treatment with our products or in another manner unfavorable to our business. Third-party coverage and reimbursement for procedures using our products or any of our products in development for which we may receive regulatory clearance or approval may not be available or adequate in either the United States or international markets. Further, other BPH treatments may be more widely covered or subject to different co-pay policies and requirements, which could impact demand for our products. If hospital, surgeon and/or patient demand for our products is adversely affected by changes in third-party reimbursement policies and decisions, it could have a material adverse effect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from many sources, including larger companies, and we may be unable to compete successfully.</w:t>
      </w:r>
    </w:p>
    <w:p>
      <w:pPr>
        <w:spacing w:after="0" w:line="165"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The medical device industry is highly competitive, subject to rapid change and significantly affected by the introduction of new products and technologies and other activities of industry participants. We compete with pharmaceutical products marketed to treat BPH, and with medical device companies that manufacture resective or non-resective surgical alternatives for treating BPH. Resective alternatives include devices for the TURP procedure, laser-based therapies and simple prostatectomy, each of which is intended to remove the prostate tissue, and non-resective alternatives such as UroLift marketed by Teleflex Incorporated and Rezum marketed by Boston Scientific Corporation, which are intended to reshape the prostate and widen the cavity. Our primary medical device competitors are Boston Scientific Corporation and smaller companies that have single products or a limited range of products. Moreover, other products that are in current clinical trials, new drugs or additional indications for existing drugs could demonstrate better safety, effectiveness, clinical results, lower costs or greater physician and market acceptance than our products.</w:t>
      </w:r>
    </w:p>
    <w:p>
      <w:pPr>
        <w:spacing w:after="0" w:line="130"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We compete, or may compete in the future, against other companies which have longer, more established operating histories and significantly greater financial, technical, marketing, sales, distribution and other resources, which may prevent us from achieving significant market penetration or improved operating results. These companies may enjoy several competitive advantages, including:</w:t>
      </w:r>
    </w:p>
    <w:p>
      <w:pPr>
        <w:spacing w:after="0" w:line="124" w:lineRule="exact"/>
        <w:rPr>
          <w:sz w:val="20"/>
          <w:szCs w:val="20"/>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established treatment patterns pursuant to which drugs are generally first-line or concurrent therapies for the treatment of BPH;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established relationships with hospitals and physicians who are familiar with other surgical alternatives for the treatment of BPH;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greater financial and human capital resources;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significantly greater name recognition;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additional lines of products, and the ability to offer rebates or bundle products to offer greater discounts or incentives to gain a competitive advantage; and</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established sales, marketing and worldwide distribution networks.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continued success depends on our ability to:</w:t>
      </w:r>
    </w:p>
    <w:p>
      <w:pPr>
        <w:spacing w:after="0" w:line="165"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improve outcomes for patients;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maintain product safety, efficacy, reliability and durability;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expand the quality and volume of our clinical data;</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effectively market to and educate patients, physicians and hospitals;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 company, product and brand recognition;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broaden our sales force experience and access;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 product support and service;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maintain and widen our technology lead over competitors by continuing to innovate and deliver new product enhancements on a continuous basis;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develop successful pricing and revenue strategies;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continue to maintain and expand reimbursement coverage for procedures using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achieve desired regulatory status and speed to market;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maintain dedicated clinical representatives.</w:t>
      </w:r>
    </w:p>
    <w:p>
      <w:pPr>
        <w:spacing w:after="0" w:line="165" w:lineRule="exact"/>
        <w:rPr>
          <w:sz w:val="20"/>
          <w:szCs w:val="20"/>
          <w:color w:val="auto"/>
        </w:rPr>
      </w:pPr>
    </w:p>
    <w:p>
      <w:pPr>
        <w:ind w:right="60" w:firstLine="309"/>
        <w:spacing w:after="0" w:line="283" w:lineRule="auto"/>
        <w:rPr>
          <w:sz w:val="20"/>
          <w:szCs w:val="20"/>
          <w:color w:val="auto"/>
        </w:rPr>
      </w:pPr>
      <w:r>
        <w:rPr>
          <w:rFonts w:ascii="Arial" w:cs="Arial" w:eastAsia="Arial" w:hAnsi="Arial"/>
          <w:sz w:val="16"/>
          <w:szCs w:val="16"/>
          <w:color w:val="auto"/>
        </w:rPr>
        <w:t>One of the major hurdles to adoption of our products will be overcoming established treatment patterns, which will require education of surgeons and supportive clinical data. However, because of the size of the market opportunity for the treatment of BPH, we believe current and potential future competitors will dedicate significant resources to aggressively promote their products or develop new products or treatments. New treatment options may be developed that could compete more effectively with our products due to the prevalence of BPH and the research and technological progress that exist within the market.</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to innovate and improve our AquaBeam Robotic System, we could lose customers or market share.</w:t>
      </w:r>
    </w:p>
    <w:p>
      <w:pPr>
        <w:spacing w:after="0" w:line="165" w:lineRule="exact"/>
        <w:rPr>
          <w:sz w:val="20"/>
          <w:szCs w:val="20"/>
          <w:color w:val="auto"/>
        </w:rPr>
      </w:pPr>
    </w:p>
    <w:p>
      <w:pPr>
        <w:ind w:firstLine="309"/>
        <w:spacing w:after="0" w:line="299" w:lineRule="auto"/>
        <w:rPr>
          <w:sz w:val="20"/>
          <w:szCs w:val="20"/>
          <w:color w:val="auto"/>
        </w:rPr>
      </w:pPr>
      <w:r>
        <w:rPr>
          <w:rFonts w:ascii="Arial" w:cs="Arial" w:eastAsia="Arial" w:hAnsi="Arial"/>
          <w:sz w:val="15"/>
          <w:szCs w:val="15"/>
          <w:color w:val="auto"/>
        </w:rPr>
        <w:t>Our success will depend on our ability to keep ahead of innovative developments in the treatment of BPH. It is critical to our competitiveness that we continue to innovate and make improvements to our AquaBeam Robotic System’s functionality and efficiency. If we fail to make improvements to our AquaBeam Robotic System’s functionality over time, our competitors may develop products that offer features and functionality similar or superior to those of our AquaBeam Robotic System. If we fail to make improvements to our AquaBeam Robotic System’s efficiency, our competitors may develop products that are more cost-effective than our AquaBeam Robotic System. Our failure to make continuous improvements to our AquaBeam Robotic System to keep ahead of the products of our competitors could result in the loss of customers or market share that would adversely affect our business, results of operations, and financial condition.</w:t>
      </w:r>
    </w:p>
    <w:p>
      <w:pPr>
        <w:spacing w:after="0" w:line="180" w:lineRule="exact"/>
        <w:rPr>
          <w:sz w:val="20"/>
          <w:szCs w:val="20"/>
          <w:color w:val="auto"/>
        </w:rPr>
      </w:pPr>
    </w:p>
    <w:p>
      <w:pPr>
        <w:ind w:right="620"/>
        <w:spacing w:after="0" w:line="264" w:lineRule="auto"/>
        <w:rPr>
          <w:sz w:val="20"/>
          <w:szCs w:val="20"/>
          <w:color w:val="auto"/>
        </w:rPr>
      </w:pPr>
      <w:r>
        <w:rPr>
          <w:rFonts w:ascii="Arial" w:cs="Arial" w:eastAsia="Arial" w:hAnsi="Arial"/>
          <w:sz w:val="17"/>
          <w:szCs w:val="17"/>
          <w:b w:val="1"/>
          <w:bCs w:val="1"/>
          <w:i w:val="1"/>
          <w:iCs w:val="1"/>
          <w:color w:val="auto"/>
        </w:rPr>
        <w:t>We have limited experience manufacturing our products in large-scale commercial quantities, and we face a number of manufacturing risks that may adversely affect our manufacturing abilities which could delay, prevent or impair our growth.</w:t>
      </w:r>
    </w:p>
    <w:p>
      <w:pPr>
        <w:spacing w:after="0" w:line="111" w:lineRule="exact"/>
        <w:rPr>
          <w:sz w:val="20"/>
          <w:szCs w:val="20"/>
          <w:color w:val="auto"/>
        </w:rPr>
      </w:pPr>
    </w:p>
    <w:p>
      <w:pPr>
        <w:ind w:right="80" w:firstLine="619"/>
        <w:spacing w:after="0" w:line="275" w:lineRule="auto"/>
        <w:rPr>
          <w:sz w:val="20"/>
          <w:szCs w:val="20"/>
          <w:color w:val="auto"/>
        </w:rPr>
      </w:pPr>
      <w:r>
        <w:rPr>
          <w:rFonts w:ascii="Arial" w:cs="Arial" w:eastAsia="Arial" w:hAnsi="Arial"/>
          <w:sz w:val="15"/>
          <w:szCs w:val="15"/>
          <w:color w:val="auto"/>
        </w:rPr>
        <w:t>Our growth strategy depends on our ability to manufacture our current and future products in sufficient quantities and on a timely basis to meet customer demand, while adhering to product quality standards, complying with regulatory quality system requirements and managing manufacturing costs in our current manufacturing facility or any future manufacturing facilities. Currently, we have a sole manufacturing facility located in Redwood City, California, where we manufacture, assemble, inspect, test, package and ship our products. We currently assemble all of our AquaBeam Robotic System and single-use disposable handpieces at this one facility, and we do not have additional facilities. We are completing renovations of a new manufacturing facility located in San Jose, California where we expect to move our corporate headquarters and all of our manufacturing operations over during 2023. Following the move, the San Jose facility will become our sole manufacture facility. If either of these facilities, or any of our future manufacturing facilities, suffers damage, or a force majeure event, such damage or event could materially impact our ability to operate, which could materially and adversely affect our business and financial performance.</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are also subject to numerous other risks relating to our manufacturing capabilities, including:</w:t>
      </w:r>
    </w:p>
    <w:p>
      <w:pPr>
        <w:spacing w:after="0" w:line="165" w:lineRule="exact"/>
        <w:rPr>
          <w:sz w:val="20"/>
          <w:szCs w:val="20"/>
          <w:color w:val="auto"/>
        </w:rPr>
      </w:pPr>
    </w:p>
    <w:p>
      <w:pPr>
        <w:ind w:left="620" w:right="5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quality and reliability of components, sub-assemblies and materials that we source from third-party suppliers, who are required to meet our quality specifications, almost all of whom are single source suppliers for the items and materials that they supply;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inability to secure components, sub-assemblies and materials in a timely manner, in sufficient quantities or on commercially reasonable terms;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inability to maintain compliance with quality system requirements or pass regulatory quality inspections;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failure to increase production capacity or volumes to meet demand;</w:t>
      </w:r>
    </w:p>
    <w:p>
      <w:pPr>
        <w:spacing w:after="0" w:line="165" w:lineRule="exact"/>
        <w:rPr>
          <w:rFonts w:ascii="Arial" w:cs="Arial" w:eastAsia="Arial" w:hAnsi="Arial"/>
          <w:sz w:val="17"/>
          <w:szCs w:val="17"/>
          <w:color w:val="auto"/>
        </w:rPr>
      </w:pPr>
    </w:p>
    <w:p>
      <w:pPr>
        <w:ind w:left="620" w:right="26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risks associated with disruptions in our supply chain, such as on account of the COVID-19 pandemic or other geopolitical or macroeconomic events;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lead times associated with securing key components;</w:t>
      </w:r>
    </w:p>
    <w:p>
      <w:pPr>
        <w:spacing w:after="0" w:line="165" w:lineRule="exact"/>
        <w:rPr>
          <w:rFonts w:ascii="Arial" w:cs="Arial" w:eastAsia="Arial" w:hAnsi="Arial"/>
          <w:sz w:val="17"/>
          <w:szCs w:val="17"/>
          <w:color w:val="auto"/>
        </w:rPr>
      </w:pPr>
    </w:p>
    <w:p>
      <w:pPr>
        <w:ind w:left="620" w:right="320" w:hanging="307"/>
        <w:spacing w:after="0" w:line="279" w:lineRule="auto"/>
        <w:tabs>
          <w:tab w:leader="none" w:pos="616"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inability to design or modify production processes to enable us to produce future products efficiently or implement changes in current products in response to design or regulatory requirements;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difficulty identifying and qualifying, and obtaining new regulatory approvals, for alternative suppliers for components in a timely manner.</w:t>
      </w:r>
    </w:p>
    <w:p>
      <w:pPr>
        <w:spacing w:after="0" w:line="165" w:lineRule="exact"/>
        <w:rPr>
          <w:sz w:val="20"/>
          <w:szCs w:val="20"/>
          <w:color w:val="auto"/>
        </w:rPr>
      </w:pPr>
    </w:p>
    <w:p>
      <w:pPr>
        <w:ind w:right="60" w:firstLine="309"/>
        <w:spacing w:after="0" w:line="293" w:lineRule="auto"/>
        <w:rPr>
          <w:sz w:val="20"/>
          <w:szCs w:val="20"/>
          <w:color w:val="auto"/>
        </w:rPr>
      </w:pPr>
      <w:r>
        <w:rPr>
          <w:rFonts w:ascii="Arial" w:cs="Arial" w:eastAsia="Arial" w:hAnsi="Arial"/>
          <w:sz w:val="15"/>
          <w:szCs w:val="15"/>
          <w:color w:val="auto"/>
        </w:rPr>
        <w:t>These risks are likely to be exacerbated by our limited experience with our current products and manufacturing processes. For instance, in both 2019 and 2021, we initiated voluntary recalls for a limited number of lots of our handpiece. These were both due to certain issues related to our supply chain and manufacturing processes. We have remedied the issue leading to the 2019 and 2021 recalls as we continue to develop and improve our manufacturing processes to scale the production of our handpieces at a higher volume. As demand for our products increases, we will have to invest additional resources to purchase components, sub-assemblies and materials, hire and train employees and enhance our manufacturing processes. If we fail to increase our production capacity efficiently, we may not be able to fill customer orders on a timely basis, our sales may not increase in line with our expectations and our operating margins could fluctuate or decline. In addition, although some future products may share product features, components, sub-assemblies and materials with our existing products, the manufacture of these products may require modification of our current production processes or unique production processes, the hiring of specialized employees, the identification of new suppliers for specific components, sub-assemblies and materials or the development of new manufacturing technologies. It may not be possible for us to manufacture these products at a cost or in quantities sufficient to make these products commercially viable or to maintain current operating margins, all of which could have a material adverse effect on our business, financial condition and results of operations.</w:t>
      </w:r>
    </w:p>
    <w:p>
      <w:pPr>
        <w:spacing w:after="0" w:line="10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may experience disruptions to our business as a result of the relocation of our headquarters and our manufacturing facility and general expansion of our operations.</w:t>
      </w:r>
    </w:p>
    <w:p>
      <w:pPr>
        <w:spacing w:after="0" w:line="177" w:lineRule="exact"/>
        <w:rPr>
          <w:sz w:val="20"/>
          <w:szCs w:val="20"/>
          <w:color w:val="auto"/>
        </w:rPr>
      </w:pPr>
    </w:p>
    <w:p>
      <w:pPr>
        <w:ind w:firstLine="309"/>
        <w:spacing w:after="0" w:line="272" w:lineRule="auto"/>
        <w:rPr>
          <w:sz w:val="20"/>
          <w:szCs w:val="20"/>
          <w:color w:val="auto"/>
        </w:rPr>
      </w:pPr>
      <w:r>
        <w:rPr>
          <w:rFonts w:ascii="Arial" w:cs="Arial" w:eastAsia="Arial" w:hAnsi="Arial"/>
          <w:sz w:val="15"/>
          <w:szCs w:val="15"/>
          <w:color w:val="auto"/>
        </w:rPr>
        <w:t>We may experience disruptions as we continue to expand our operations and facilities and execute on our growth strategy. In December 2021, we entered into a lease agreement to move our headquarters to a larger space in San Jose, California. We are completing renovations of such facility where we expect to complete moving substantially all of our operations, including manufacturing, to this facility by the end of 2023. The process of moving our business, opening new facilities and bringing operations online at this new site is inherently complex and is not part of our day-to-day operations. The relocation and expansion of our headquarters and the opening of any additional new facilities cause significant disruption to our operations, divert management attention and resources and involve significant costs, all of which could have a material adverse effect on our business, financial condition and results of operations. The relocation of our headquarters and the opening of a new facility with manufacturing operations will require the movement and installation of key manufacturing equipment and receipt of appropriate marketing authorizations or certifications from applicable regulatory bodies, including the FDA. We can give no assurance that the relocation of our headquarters will be completed as planned or within the anticipated timeframe, or that we will fully realize the expected benefits of the relocation. Because of the time required to register and authorize manufacturing of our products in a new facility under FDA, state and non-U.S. regulatory requirements, we may not be able to resume production on a timely basis. The inability to perform our research, development and manufacturing activities, combined with our limited inventory of materials and components and manufactured products, may cause physicians to discontinue using our products or harm our reputation, and we may be unable to reestablish relationships with such physicians in the future. If our manufacturing capabilities were impaired by our move, we may not be able to manufacture and ship our products in a timely manner, which would adversely impact our business, financial condition and results of operations.</w:t>
      </w:r>
    </w:p>
    <w:p>
      <w:pPr>
        <w:spacing w:after="0" w:line="203"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b w:val="1"/>
          <w:bCs w:val="1"/>
          <w:i w:val="1"/>
          <w:iCs w:val="1"/>
          <w:color w:val="auto"/>
        </w:rPr>
        <w:t>We depend upon third-party suppliers, including contract manufacturers and single source suppliers, making us vulnerable to supply shortages and price fluctuations that could negatively affect our business, financial condition and results of operations.</w:t>
      </w:r>
    </w:p>
    <w:p>
      <w:pPr>
        <w:spacing w:after="0" w:line="124" w:lineRule="exact"/>
        <w:rPr>
          <w:sz w:val="20"/>
          <w:szCs w:val="20"/>
          <w:color w:val="auto"/>
        </w:rPr>
      </w:pPr>
    </w:p>
    <w:p>
      <w:pPr>
        <w:ind w:right="40" w:firstLine="309"/>
        <w:spacing w:after="0" w:line="248" w:lineRule="auto"/>
        <w:rPr>
          <w:sz w:val="20"/>
          <w:szCs w:val="20"/>
          <w:color w:val="auto"/>
        </w:rPr>
      </w:pPr>
      <w:r>
        <w:rPr>
          <w:rFonts w:ascii="Arial" w:cs="Arial" w:eastAsia="Arial" w:hAnsi="Arial"/>
          <w:sz w:val="17"/>
          <w:szCs w:val="17"/>
          <w:color w:val="auto"/>
        </w:rPr>
        <w:t>We rely on third-party suppliers, almost all of whom are single source suppliers, to provide us with certain components, sub-assemblies and materials for our products. These components, sub-assemblies and materials are critical and, for certain items, there are relatively few alternative sources of supply. These single source suppliers may be unwilling or unable to supply the necessary materials and components or manufacture and assemble our products in a reliable manner and at the levels we anticipate or at levels adequate to satisfy demand for our products. While our suppliers have generally met our demand for their products and services on a timely basis in the past, we have experienced and may continue to</w:t>
      </w: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experience delays resulting from longer production and delivery times since the onset of the COVID-19 pandemic and increased demand for semiconductor chips globally. We cannot guarantee that they will in the future be able to meet our demand for such products, either because of acts of nature, the nature of our agreements with those suppliers or our relative importance to them as a customer, and our suppliers may decide in the future to discontinue or reduce the level of business they conduct with us. Further, we maintain limited volumes of inventory from most of our suppliers and contract manufacturers. If we inaccurately forecast demand for finished goods, we may be unable to meet customer demand which could harm our competitive position and reputation.</w:t>
      </w:r>
    </w:p>
    <w:p>
      <w:pPr>
        <w:spacing w:after="0" w:line="124"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We have not been qualified or obtained necessary regulatory approvals for additional suppliers for most of these components, sub-assemblies and materials. While we currently believe that alternative sources of supply or sterilization may be available, we cannot be certain whether they will be available if and when we need them, or that any alternative suppliers or providers would be able to provide the quantity and quality of components, materials and sterilization that we would need to manufacture and ship our products if our existing suppliers and providers were unable to satisfy our requirements. To utilize other sources, we would need to identify and qualify new providers to our quality standards and obtain any additional regulatory approvals required to change providers, which could result in manufacturing delays and increase our expenses.</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Our dependence on third-parties subjects us to a number of risks that could impact our ability to manufacture our products and harm our business, including:</w:t>
      </w:r>
    </w:p>
    <w:p>
      <w:pPr>
        <w:spacing w:after="0" w:line="188"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interruption of supply or sterilization resulting from modifications to, or discontinuation of, a third party’s operations;</w:t>
      </w:r>
    </w:p>
    <w:p>
      <w:pPr>
        <w:spacing w:after="0" w:line="165" w:lineRule="exact"/>
        <w:rPr>
          <w:rFonts w:ascii="Arial" w:cs="Arial" w:eastAsia="Arial" w:hAnsi="Arial"/>
          <w:sz w:val="17"/>
          <w:szCs w:val="17"/>
          <w:color w:val="auto"/>
        </w:rPr>
      </w:pPr>
    </w:p>
    <w:p>
      <w:pPr>
        <w:ind w:left="620" w:right="860" w:hanging="307"/>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delays in product shipments resulting from uncorrected defects, reliability issues or a third party’s failure to produce components or complete sterilizations that consistently meet our quality specifications;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price fluctuations due to a lack of long-term supply arrangements with our third parties for key components or sterilization requirements;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inability to obtain adequate supply or services in a timely manner or on commercially reasonable terms;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difficulty identifying and qualifying alternative third parties for the supply of components or for sterilization of our products in a timely manner;</w:t>
      </w:r>
    </w:p>
    <w:p>
      <w:pPr>
        <w:spacing w:after="0" w:line="165"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inability of third parties to comply with applicable provisions of the FDA’s Quality System Regulations, or QSR, or other applicable laws or regulations enforced by the FDA, state and global regulatory authorities;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inability to ensure the quality of products manufactured or sterilization conducted by third parties;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production delays related to the evaluation and testing of products and services from alternative third parties and corresponding regulatory qualifications;</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trends towards consolidation within the medical device manufacturing supplier industry;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delays in delivery by our suppliers and service providers.</w:t>
      </w:r>
    </w:p>
    <w:p>
      <w:pPr>
        <w:spacing w:after="0" w:line="165" w:lineRule="exact"/>
        <w:rPr>
          <w:sz w:val="20"/>
          <w:szCs w:val="20"/>
          <w:color w:val="auto"/>
        </w:rPr>
      </w:pPr>
    </w:p>
    <w:p>
      <w:pPr>
        <w:ind w:right="40" w:firstLine="309"/>
        <w:spacing w:after="0" w:line="262" w:lineRule="auto"/>
        <w:rPr>
          <w:sz w:val="20"/>
          <w:szCs w:val="20"/>
          <w:color w:val="auto"/>
        </w:rPr>
      </w:pPr>
      <w:r>
        <w:rPr>
          <w:rFonts w:ascii="Arial" w:cs="Arial" w:eastAsia="Arial" w:hAnsi="Arial"/>
          <w:sz w:val="17"/>
          <w:szCs w:val="17"/>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w:t>
      </w:r>
    </w:p>
    <w:p>
      <w:pPr>
        <w:spacing w:after="0" w:line="126"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i w:val="1"/>
          <w:iCs w:val="1"/>
          <w:color w:val="auto"/>
        </w:rPr>
        <w:t>If we receive a significant number of warranty claims or our AquaBeam Robotic Systems require significant amounts of service after sale, our operating expenses may substantially increase and our business and financial results will be adversely affected.</w:t>
      </w:r>
    </w:p>
    <w:p>
      <w:pPr>
        <w:spacing w:after="0" w:line="113"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We currently warrant each AquaBeam Robotic System against defects in materials and workmanship for a period of approximately 12 months from the installation of our product by a customer. We also expect to continue to provide technical and other services to customers beyond the warranty period pursuant to a supplemental service plan that we sell for our AquaBeam Robotic System. We have a limited history of commercial placements from which to judge our rate of warranty claims, and we expect that the number of warranty claims we receive may increase as we scale our operations and as our existing commercial placements age. If product returns or warranty claims are significant or exceed our</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41" w:name="page42"/>
    <w:bookmarkEnd w:id="41"/>
    <w:p>
      <w:pPr>
        <w:ind w:left="80"/>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80" w:right="20"/>
        <w:spacing w:after="0" w:line="266" w:lineRule="auto"/>
        <w:rPr>
          <w:sz w:val="20"/>
          <w:szCs w:val="20"/>
          <w:color w:val="auto"/>
        </w:rPr>
      </w:pPr>
      <w:r>
        <w:rPr>
          <w:rFonts w:ascii="Arial" w:cs="Arial" w:eastAsia="Arial" w:hAnsi="Arial"/>
          <w:sz w:val="17"/>
          <w:szCs w:val="17"/>
          <w:color w:val="auto"/>
        </w:rPr>
        <w:t>expectations, we could incur unanticipated reductions in sales or additional operating expenditures for parts and service. In addition, our reputation could be damaged and our products may not achieve the level of market acceptance that we are targeting in order to achieve and maintain profitability. Unforeseen warranty exposure could negatively impact our business and financial results.</w:t>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need to ensure strong product performance and reliability to maintain and grow our business.</w:t>
      </w:r>
    </w:p>
    <w:p>
      <w:pPr>
        <w:spacing w:after="0" w:line="165" w:lineRule="exact"/>
        <w:rPr>
          <w:sz w:val="20"/>
          <w:szCs w:val="20"/>
          <w:color w:val="auto"/>
        </w:rPr>
      </w:pPr>
    </w:p>
    <w:p>
      <w:pPr>
        <w:ind w:left="80" w:right="80" w:firstLine="309"/>
        <w:spacing w:after="0" w:line="279" w:lineRule="auto"/>
        <w:rPr>
          <w:sz w:val="20"/>
          <w:szCs w:val="20"/>
          <w:color w:val="auto"/>
        </w:rPr>
      </w:pPr>
      <w:r>
        <w:rPr>
          <w:rFonts w:ascii="Arial" w:cs="Arial" w:eastAsia="Arial" w:hAnsi="Arial"/>
          <w:sz w:val="16"/>
          <w:szCs w:val="16"/>
          <w:color w:val="auto"/>
        </w:rPr>
        <w:t>We need to maintain and continuously improve the performance and reliability of our AquaBeam Robotic System to achieve our profitability objectives. Poor product performance and reliability could lead to customer dissatisfaction, adversely affect our reputation and revenues, and increase our service and distribution costs and working capital requirements. In addition, software and hardware incorporated into our AquaBeam Robotic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17" w:lineRule="exact"/>
        <w:rPr>
          <w:sz w:val="20"/>
          <w:szCs w:val="20"/>
          <w:color w:val="auto"/>
        </w:rPr>
      </w:pPr>
    </w:p>
    <w:p>
      <w:pPr>
        <w:ind w:left="80" w:right="80"/>
        <w:spacing w:after="0" w:line="279" w:lineRule="auto"/>
        <w:rPr>
          <w:sz w:val="20"/>
          <w:szCs w:val="20"/>
          <w:color w:val="auto"/>
        </w:rPr>
      </w:pPr>
      <w:r>
        <w:rPr>
          <w:rFonts w:ascii="Arial" w:cs="Arial" w:eastAsia="Arial" w:hAnsi="Arial"/>
          <w:sz w:val="17"/>
          <w:szCs w:val="17"/>
          <w:b w:val="1"/>
          <w:bCs w:val="1"/>
          <w:i w:val="1"/>
          <w:iCs w:val="1"/>
          <w:color w:val="auto"/>
        </w:rPr>
        <w:t>Our business, financial condition, results of operations and growth have been adversely impacted by the effects of the COVID-19 pandemic and may continue to be adversely impacted.</w:t>
      </w:r>
    </w:p>
    <w:p>
      <w:pPr>
        <w:spacing w:after="0" w:line="190" w:lineRule="exact"/>
        <w:rPr>
          <w:sz w:val="20"/>
          <w:szCs w:val="20"/>
          <w:color w:val="auto"/>
        </w:rPr>
      </w:pPr>
    </w:p>
    <w:p>
      <w:pPr>
        <w:ind w:left="80" w:firstLine="309"/>
        <w:spacing w:after="0" w:line="290" w:lineRule="auto"/>
        <w:rPr>
          <w:sz w:val="20"/>
          <w:szCs w:val="20"/>
          <w:color w:val="auto"/>
        </w:rPr>
      </w:pPr>
      <w:r>
        <w:rPr>
          <w:rFonts w:ascii="Arial" w:cs="Arial" w:eastAsia="Arial" w:hAnsi="Arial"/>
          <w:sz w:val="15"/>
          <w:szCs w:val="15"/>
          <w:color w:val="auto"/>
        </w:rPr>
        <w:t>We are subject to risks related to the public health crises such as the global pandemic associated with COVID-19. The COVID-19 outbreak and the consequential economic disruptions have negatively impacted and may continue to negatively impact, including the emergence and impact of the various COVID-19 variants, our operations and revenues and overall financial condition by decreasing the number of BPH procedures generally, which slowed adoption of our AquaBeam Robotic System during the course of the pandemic. In the event of any new COVID-19 variants or other epidemic or pandemic that limit the ability of healthcare organizations to treat patients with elective procedures, the ability of such organizations to treat patients with Aquablation therapy may be limited and disrupt the number of procedures completed with our products. We believe the number of our systems sold has also been impacted as health care organizations globally have prioritized the treatment of patients with COVID-19, and as health care organizations have dealt with other consequential economic disruptions from the COVID-19 pandemic such as budget shortfalls and staffing shortages. For example, for a period of time in the United States, governmental authorities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w:t>
      </w:r>
    </w:p>
    <w:p>
      <w:pPr>
        <w:spacing w:after="0" w:line="2" w:lineRule="exact"/>
        <w:rPr>
          <w:sz w:val="20"/>
          <w:szCs w:val="20"/>
          <w:color w:val="auto"/>
        </w:rPr>
      </w:pPr>
    </w:p>
    <w:p>
      <w:pPr>
        <w:ind w:left="80" w:right="40" w:firstLine="3"/>
        <w:spacing w:after="0" w:line="308" w:lineRule="auto"/>
        <w:tabs>
          <w:tab w:leader="none" w:pos="338"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These measures and challenges led to our decision to re-forecast our revenue for 2020, and they may continue or resume for the duration of the pandemic, which is uncertain, and may negatively impact our revenue growth while the pandemic continues. Further, once the pandemic subsides, For instance, following the COVID-19 pandemic, there is a backlog of patients seeking appointments with physicians and surgeries to be performed at hospitals relating to a variety of medical conditions. As a result, patients seeking to have our Aquablation therapy performed are having to navigate limited provider capacity.</w:t>
      </w:r>
    </w:p>
    <w:p>
      <w:pPr>
        <w:spacing w:after="0" w:line="161" w:lineRule="exact"/>
        <w:rPr>
          <w:sz w:val="20"/>
          <w:szCs w:val="20"/>
          <w:color w:val="auto"/>
        </w:rPr>
      </w:pPr>
    </w:p>
    <w:p>
      <w:pPr>
        <w:ind w:left="80"/>
        <w:spacing w:after="0"/>
        <w:rPr>
          <w:sz w:val="20"/>
          <w:szCs w:val="20"/>
          <w:color w:val="auto"/>
        </w:rPr>
      </w:pPr>
      <w:r>
        <w:rPr>
          <w:rFonts w:ascii="Arial" w:cs="Arial" w:eastAsia="Arial" w:hAnsi="Arial"/>
          <w:sz w:val="17"/>
          <w:szCs w:val="17"/>
          <w:b w:val="1"/>
          <w:bCs w:val="1"/>
          <w:i w:val="1"/>
          <w:iCs w:val="1"/>
          <w:color w:val="auto"/>
        </w:rPr>
        <w:t>We may not be able to achieve or maintain satisfactory pricing and margins for our products.</w:t>
      </w:r>
    </w:p>
    <w:p>
      <w:pPr>
        <w:spacing w:after="0" w:line="230" w:lineRule="exact"/>
        <w:rPr>
          <w:sz w:val="20"/>
          <w:szCs w:val="20"/>
          <w:color w:val="auto"/>
        </w:rPr>
      </w:pPr>
    </w:p>
    <w:p>
      <w:pPr>
        <w:ind w:left="80" w:right="40" w:firstLine="309"/>
        <w:spacing w:after="0" w:line="256" w:lineRule="auto"/>
        <w:rPr>
          <w:sz w:val="20"/>
          <w:szCs w:val="20"/>
          <w:color w:val="auto"/>
        </w:rPr>
      </w:pPr>
      <w:r>
        <w:rPr>
          <w:rFonts w:ascii="Arial" w:cs="Arial" w:eastAsia="Arial" w:hAnsi="Arial"/>
          <w:sz w:val="16"/>
          <w:szCs w:val="16"/>
          <w:color w:val="auto"/>
        </w:rPr>
        <w:t>Manufacturers of medical devices have a history of price competition, and we can give no assurance that we will be able to achieve satisfactory prices for our current or any new products or maintain prices at the levels we have historically achieved. Any decline in the amount that payors reimburse our customers for our products could make it difficult for customers to continue using, or to adopt, our products and could create additional pricing pressure for us. If we are forced to lower the price we charge for our products, or if we add more components to our systems, our gross margins will decrease, which will adversely affect our ability to invest in and grow our business. If we are unable to maintain our prices, including during any international expansion, or if our costs increase and we are unable to offset such increase with an increase in our prices, our margins could erode. We will continue to be subject to significant pricing pressure, which could harm negatively affect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encounter difficulties in managing our growth, which could disrupt our operations.</w:t>
      </w:r>
    </w:p>
    <w:p>
      <w:pPr>
        <w:spacing w:after="0" w:line="165" w:lineRule="exact"/>
        <w:rPr>
          <w:sz w:val="20"/>
          <w:szCs w:val="20"/>
          <w:color w:val="auto"/>
        </w:rPr>
      </w:pPr>
    </w:p>
    <w:p>
      <w:pPr>
        <w:ind w:left="80" w:right="60" w:firstLine="309"/>
        <w:spacing w:after="0" w:line="299" w:lineRule="auto"/>
        <w:rPr>
          <w:sz w:val="20"/>
          <w:szCs w:val="20"/>
          <w:color w:val="auto"/>
        </w:rPr>
      </w:pPr>
      <w:r>
        <w:rPr>
          <w:rFonts w:ascii="Arial" w:cs="Arial" w:eastAsia="Arial" w:hAnsi="Arial"/>
          <w:sz w:val="15"/>
          <w:szCs w:val="15"/>
          <w:color w:val="auto"/>
        </w:rPr>
        <w:t>We have experienced substantial growth in our operations, and we expect to experience continued substantial growth in our business. Over the next several years, we expect to increase significantly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w:t>
      </w:r>
    </w:p>
    <w:p>
      <w:pPr>
        <w:spacing w:after="0" w:line="200" w:lineRule="exact"/>
        <w:rPr>
          <w:sz w:val="20"/>
          <w:szCs w:val="20"/>
          <w:color w:val="auto"/>
        </w:rPr>
      </w:pPr>
    </w:p>
    <w:p>
      <w:pPr>
        <w:spacing w:after="0" w:line="316"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20"/>
          </w:cols>
          <w:pgMar w:left="240" w:top="282"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business development resources. Any inability to manage growth could delay the execution of our business plans or disrupt our operations.</w:t>
      </w:r>
    </w:p>
    <w:p>
      <w:pPr>
        <w:spacing w:after="0" w:line="177"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Our results of operations will be materially harmed if we are unable to accurately forecast customer demand for, and utilization of, our AquaBeam Robotic System and manage our inventory.</w:t>
      </w:r>
    </w:p>
    <w:p>
      <w:pPr>
        <w:spacing w:after="0" w:line="113" w:lineRule="exact"/>
        <w:rPr>
          <w:sz w:val="20"/>
          <w:szCs w:val="20"/>
          <w:color w:val="auto"/>
        </w:rPr>
      </w:pPr>
    </w:p>
    <w:p>
      <w:pPr>
        <w:ind w:firstLine="309"/>
        <w:spacing w:after="0" w:line="293" w:lineRule="auto"/>
        <w:rPr>
          <w:sz w:val="20"/>
          <w:szCs w:val="20"/>
          <w:color w:val="auto"/>
        </w:rPr>
      </w:pPr>
      <w:r>
        <w:rPr>
          <w:rFonts w:ascii="Arial" w:cs="Arial" w:eastAsia="Arial" w:hAnsi="Arial"/>
          <w:sz w:val="15"/>
          <w:szCs w:val="15"/>
          <w:color w:val="auto"/>
        </w:rPr>
        <w:t>To ensure adequate inventory supply, we must forecast inventory needs and manufacture our AquaBeam Robotic System console and the single-use disposable handpieces based on our estimates of future demand for, and utilization of, our AquaBeam Robotic System. Our ability to accurately forecast demand and utilization could be negatively affected by many factors, including our failure to accurately manage our expansion strategy, product introductions by competitors, an increase or decrease in customer demand for our products or for products of our competitors, our failure to accurately forecast customer acceptance of new products,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and utilization,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or utilization,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07" w:lineRule="exact"/>
        <w:rPr>
          <w:sz w:val="20"/>
          <w:szCs w:val="20"/>
          <w:color w:val="auto"/>
        </w:rPr>
      </w:pPr>
    </w:p>
    <w:p>
      <w:pPr>
        <w:ind w:right="600"/>
        <w:spacing w:after="0" w:line="279" w:lineRule="auto"/>
        <w:rPr>
          <w:sz w:val="20"/>
          <w:szCs w:val="20"/>
          <w:color w:val="auto"/>
        </w:rPr>
      </w:pPr>
      <w:r>
        <w:rPr>
          <w:rFonts w:ascii="Arial" w:cs="Arial" w:eastAsia="Arial" w:hAnsi="Arial"/>
          <w:sz w:val="17"/>
          <w:szCs w:val="17"/>
          <w:b w:val="1"/>
          <w:bCs w:val="1"/>
          <w:i w:val="1"/>
          <w:iCs w:val="1"/>
          <w:color w:val="auto"/>
        </w:rPr>
        <w:t>Our information technology systems, or those used by third party service providers, partners, our contractors or consultants, may fail or suffer security breaches, and such failure could negatively affect our business, financial condition and results of operations.</w:t>
      </w:r>
    </w:p>
    <w:p>
      <w:pPr>
        <w:spacing w:after="0" w:line="113"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manufacture, distribution and maintenance of our products, as well as for accounting, data storage, compliance, purchasing, inventory management and other related functions. We do not have redundant information technology in all aspects of our systems at this time. Despite the implementation of security and back-up measures, our information technology systems as well as those of our third-party partners, consultants, contractors, suppliers, and service providers, may be vulnerable to attack, damage and interruption from physical or electronic break-ins, accidental or intentional exposure of our data by employees or others with authorized access to our networks, computer viruses, malware, ransomware, malicious code, phishing attacks and other social engineering schemes, denial or degradation of service attacks, attacks by sophisticated nation-state and nation-state-supported actors, supply chain attacks, natural disasters, terrorism, war, telecommunication and electrical failure, denial of service, and other cyberattacks or disruptive incidents that could result in unauthorized access to, use or disclosure of, corruption of, or loss of sensitive, and/or proprietary data, including health-related and other personal information, and could subject us to significant liabilities and regulatory and enforcement actions, and reputational damage.</w:t>
      </w:r>
    </w:p>
    <w:p>
      <w:pPr>
        <w:spacing w:after="0" w:line="125" w:lineRule="exact"/>
        <w:rPr>
          <w:sz w:val="20"/>
          <w:szCs w:val="20"/>
          <w:color w:val="auto"/>
        </w:rPr>
      </w:pPr>
    </w:p>
    <w:p>
      <w:pPr>
        <w:ind w:firstLine="309"/>
        <w:spacing w:after="0" w:line="297" w:lineRule="auto"/>
        <w:rPr>
          <w:sz w:val="20"/>
          <w:szCs w:val="20"/>
          <w:color w:val="auto"/>
        </w:rPr>
      </w:pPr>
      <w:r>
        <w:rPr>
          <w:rFonts w:ascii="Arial" w:cs="Arial" w:eastAsia="Arial" w:hAnsi="Arial"/>
          <w:sz w:val="15"/>
          <w:szCs w:val="15"/>
          <w:color w:val="auto"/>
        </w:rPr>
        <w:t>The COVID-19 pandemic has generally increased the risk of cybersecurity intrusions. Our reliance on internet technology and the number of our employees who are working remotely may create additional opportunities for cybercriminals to exploit vulnerabilities. For example, there has been an increase in phishing and spam emails as well as social engineering attempts from “hackers” hoping to use the recent COVID-19 pandemic to their advantage.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104" w:lineRule="exact"/>
        <w:rPr>
          <w:sz w:val="20"/>
          <w:szCs w:val="20"/>
          <w:color w:val="auto"/>
        </w:rPr>
      </w:pPr>
    </w:p>
    <w:p>
      <w:pPr>
        <w:ind w:right="100" w:firstLine="309"/>
        <w:spacing w:after="0" w:line="276" w:lineRule="auto"/>
        <w:rPr>
          <w:sz w:val="20"/>
          <w:szCs w:val="20"/>
          <w:color w:val="auto"/>
        </w:rPr>
      </w:pPr>
      <w:r>
        <w:rPr>
          <w:rFonts w:ascii="Arial" w:cs="Arial" w:eastAsia="Arial" w:hAnsi="Arial"/>
          <w:sz w:val="16"/>
          <w:szCs w:val="16"/>
          <w:color w:val="auto"/>
        </w:rPr>
        <w:t>We and certain of our partners or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trade secrets, personal information or other proprietary or sensitive information or other similar disruptions. Additionally, theft of our intellectual property or proprietary business information could require substantial expenditures to remedy. Such theft could also lead to loss of intellectual property rights through disclosure of our proprietary business information, and such loss may not be capable of remedying. If we or our third-party partners, consultants, contractors, suppliers, or service providers were to suffer an attack or breach, for example, that resulted in the unauthorized access to or use or disclosure of health-related or other</w:t>
      </w:r>
    </w:p>
    <w:p>
      <w:pPr>
        <w:spacing w:after="0" w:line="200" w:lineRule="exact"/>
        <w:rPr>
          <w:sz w:val="20"/>
          <w:szCs w:val="20"/>
          <w:color w:val="auto"/>
        </w:rPr>
      </w:pPr>
    </w:p>
    <w:p>
      <w:pPr>
        <w:spacing w:after="0" w:line="33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personal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third parties to conduct clinical trials, and similar events relating to their computer systems and networks could also have a material adverse effect on our business.</w:t>
      </w:r>
    </w:p>
    <w:p>
      <w:pPr>
        <w:spacing w:after="0" w:line="107" w:lineRule="exact"/>
        <w:rPr>
          <w:sz w:val="20"/>
          <w:szCs w:val="20"/>
          <w:color w:val="auto"/>
        </w:rPr>
      </w:pPr>
    </w:p>
    <w:p>
      <w:pPr>
        <w:ind w:right="20" w:firstLine="309"/>
        <w:spacing w:after="0" w:line="259" w:lineRule="auto"/>
        <w:rPr>
          <w:sz w:val="20"/>
          <w:szCs w:val="20"/>
          <w:color w:val="auto"/>
        </w:rPr>
      </w:pPr>
      <w:r>
        <w:rPr>
          <w:rFonts w:ascii="Arial" w:cs="Arial" w:eastAsia="Arial" w:hAnsi="Arial"/>
          <w:sz w:val="17"/>
          <w:szCs w:val="17"/>
          <w:color w:val="auto"/>
        </w:rPr>
        <w:t>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 We maintain cyber liability insurance; however, this insurance may not be sufficient to cover the financial, legal, business or reputational losses that may result from an interruption or breach of our systems.</w:t>
      </w:r>
    </w:p>
    <w:p>
      <w:pPr>
        <w:spacing w:after="0" w:line="13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b w:val="1"/>
          <w:bCs w:val="1"/>
          <w:i w:val="1"/>
          <w:iCs w:val="1"/>
          <w:color w:val="auto"/>
        </w:rPr>
        <w:t>Actual or perceived failure to comply with data protection, privacy and security laws, regulations, standards and other requirements could lead to government enforcement actions (which could include civil or criminal penalties), private litigation, and/or adverse publicity and could negatively affect our operating results and business.</w:t>
      </w:r>
    </w:p>
    <w:p>
      <w:pPr>
        <w:spacing w:after="0" w:line="124" w:lineRule="exact"/>
        <w:rPr>
          <w:sz w:val="20"/>
          <w:szCs w:val="20"/>
          <w:color w:val="auto"/>
        </w:rPr>
      </w:pPr>
    </w:p>
    <w:p>
      <w:pPr>
        <w:ind w:right="20" w:firstLine="309"/>
        <w:spacing w:after="0" w:line="272" w:lineRule="auto"/>
        <w:rPr>
          <w:sz w:val="20"/>
          <w:szCs w:val="20"/>
          <w:color w:val="auto"/>
        </w:rPr>
      </w:pPr>
      <w:r>
        <w:rPr>
          <w:rFonts w:ascii="Arial" w:cs="Arial" w:eastAsia="Arial" w:hAnsi="Arial"/>
          <w:sz w:val="16"/>
          <w:szCs w:val="16"/>
          <w:color w:val="auto"/>
        </w:rPr>
        <w:t>The global data protection landscape is rapidly evolving, and we are or we may become subject to federal, state, and foreign data protection laws, regulations and requirements governing the collection, use, disclosure, retention and security of personal information. In the United States, numerous federal and state laws and regulations, including state data breach notification laws, state health information privacy laws, and federal and state consumer protection laws and regulations that govern the collection, processing, use, disclosure, and protection of health-related and other personal information could apply to our operations or the operations of our partners. For example, the federal Health Insurance Portability and Accountability Act of 1996, as amended by the Health Information Technology for Economic and Clinical Health Act of 2009, and regulations promulgated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We may obtain health information from third parties (including research institutions from which we obtain clinical trial data) that are subject to privacy and security requirements under HIPAA. Entities that are found to be in violation of HIPAA, whether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23" w:lineRule="exact"/>
        <w:rPr>
          <w:sz w:val="20"/>
          <w:szCs w:val="20"/>
          <w:color w:val="auto"/>
        </w:rPr>
      </w:pPr>
    </w:p>
    <w:p>
      <w:pPr>
        <w:ind w:firstLine="309"/>
        <w:spacing w:after="0" w:line="302" w:lineRule="auto"/>
        <w:rPr>
          <w:sz w:val="20"/>
          <w:szCs w:val="20"/>
          <w:color w:val="auto"/>
        </w:rPr>
      </w:pPr>
      <w:r>
        <w:rPr>
          <w:rFonts w:ascii="Arial" w:cs="Arial" w:eastAsia="Arial" w:hAnsi="Arial"/>
          <w:sz w:val="15"/>
          <w:szCs w:val="15"/>
          <w:color w:val="auto"/>
        </w:rPr>
        <w:t>Even when HIPAA does not apply, according to the Federal Trade Commission, or the FTC, failing to take appropriate steps to keep consumers’ personal information secure may constitute unfair acts or practices in or affecting commerce in violation of the Federal Trade Commission Act. The FTC and many state Attorneys General continue to enforce federal and state consumer protection laws against companies for online collection, use, dissemination and security practices that appear to be unfair or deceptive.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01" w:lineRule="exact"/>
        <w:rPr>
          <w:sz w:val="20"/>
          <w:szCs w:val="20"/>
          <w:color w:val="auto"/>
        </w:rPr>
      </w:pPr>
    </w:p>
    <w:p>
      <w:pPr>
        <w:ind w:firstLine="309"/>
        <w:spacing w:after="0" w:line="272" w:lineRule="auto"/>
        <w:rPr>
          <w:sz w:val="20"/>
          <w:szCs w:val="20"/>
          <w:color w:val="auto"/>
        </w:rPr>
      </w:pPr>
      <w:r>
        <w:rPr>
          <w:rFonts w:ascii="Arial" w:cs="Arial" w:eastAsia="Arial" w:hAnsi="Arial"/>
          <w:sz w:val="16"/>
          <w:szCs w:val="16"/>
          <w:color w:val="auto"/>
        </w:rPr>
        <w:t>In addition, certain state laws govern the privacy and security of health-related and other personal information, many of which may differ from each other, thus, complicating compliance efforts. For example, the California Consumer Privacy Act, or CCPA, went into effect on January 1, 2020. It created individual privacy rights for California consumers (as defined in the law), including the right to opt out of certain disclosures of their information, and places increased privacy and security obligations on entities handling certain personal data of consumers or households and may apply to us in the future. The CCPA also creates a private right of action for certain data breaches that has increased the likelihood of, and risks associated with, breach litigation. Further, the California Privacy Rights Act, or CPRA, generally went into effect on January 1, 2023, and amends the CCPA. The CPRA imposes additional data protection obligations on covered businesses, including additional consumer rights processes, limitations on data uses, new audit requirements for higher risk data, and opt outs for certain uses of sensitive data. It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Virginia, Colorado, Connecticut and Utah, and have been proposed in other states and at the federal level, reflecting a trend toward more stringent privacy legislation in the United States.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 w:firstLine="309"/>
        <w:spacing w:after="0" w:line="290" w:lineRule="auto"/>
        <w:rPr>
          <w:sz w:val="20"/>
          <w:szCs w:val="20"/>
          <w:color w:val="auto"/>
        </w:rPr>
      </w:pPr>
      <w:r>
        <w:rPr>
          <w:rFonts w:ascii="Arial" w:cs="Arial" w:eastAsia="Arial" w:hAnsi="Arial"/>
          <w:sz w:val="15"/>
          <w:szCs w:val="15"/>
          <w:color w:val="auto"/>
        </w:rPr>
        <w:t>Foreign data protection laws, including the General Data Protection Regulation, or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or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Member States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security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87" w:lineRule="exact"/>
        <w:rPr>
          <w:sz w:val="20"/>
          <w:szCs w:val="20"/>
          <w:color w:val="auto"/>
        </w:rPr>
      </w:pPr>
    </w:p>
    <w:p>
      <w:pPr>
        <w:ind w:firstLine="309"/>
        <w:spacing w:after="0" w:line="262" w:lineRule="auto"/>
        <w:rPr>
          <w:sz w:val="20"/>
          <w:szCs w:val="20"/>
          <w:color w:val="auto"/>
        </w:rPr>
      </w:pPr>
      <w:r>
        <w:rPr>
          <w:rFonts w:ascii="Arial" w:cs="Arial" w:eastAsia="Arial" w:hAnsi="Arial"/>
          <w:sz w:val="17"/>
          <w:szCs w:val="17"/>
          <w:color w:val="auto"/>
        </w:rPr>
        <w:t>Further, from January 1, 2021, companies have had to comply with the GDPR and also the UK GDPR, which, together with the amended UK Data Protection Act 2018, retains the GDPR in UK national law. The UK GDPR mirrors the fines under the GDPR, e.g. fines up to the greater of €20 million (£17.5 million) or 4% of global turnover. As we continue to expand into other foreign countries and jurisdictions, we may be subject to additional laws and regulations that may affect how we conduct business.</w:t>
      </w:r>
    </w:p>
    <w:p>
      <w:pPr>
        <w:spacing w:after="0" w:line="204" w:lineRule="exact"/>
        <w:rPr>
          <w:sz w:val="20"/>
          <w:szCs w:val="20"/>
          <w:color w:val="auto"/>
        </w:rPr>
      </w:pPr>
    </w:p>
    <w:p>
      <w:pPr>
        <w:ind w:right="20" w:firstLine="309"/>
        <w:spacing w:after="0" w:line="275" w:lineRule="auto"/>
        <w:rPr>
          <w:sz w:val="20"/>
          <w:szCs w:val="20"/>
          <w:color w:val="auto"/>
        </w:rPr>
      </w:pPr>
      <w:r>
        <w:rPr>
          <w:rFonts w:ascii="Arial" w:cs="Arial" w:eastAsia="Arial" w:hAnsi="Arial"/>
          <w:sz w:val="16"/>
          <w:szCs w:val="16"/>
          <w:color w:val="auto"/>
        </w:rPr>
        <w:t>Compliance with US, foreign, and local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Failure to comply with US and foreign data protection laws and regulations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18"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b w:val="1"/>
          <w:bCs w:val="1"/>
          <w:i w:val="1"/>
          <w:iCs w:val="1"/>
          <w:color w:val="auto"/>
        </w:rPr>
        <w:t>Natural or man-made disasters and other similar events may significantly disrupt our business, and negatively impact our business, financial condition and results of operations.</w:t>
      </w:r>
    </w:p>
    <w:p>
      <w:pPr>
        <w:spacing w:after="0" w:line="113" w:lineRule="exact"/>
        <w:rPr>
          <w:sz w:val="20"/>
          <w:szCs w:val="20"/>
          <w:color w:val="auto"/>
        </w:rPr>
      </w:pPr>
    </w:p>
    <w:p>
      <w:pPr>
        <w:ind w:right="20" w:firstLine="309"/>
        <w:spacing w:after="0" w:line="258" w:lineRule="auto"/>
        <w:rPr>
          <w:sz w:val="20"/>
          <w:szCs w:val="20"/>
          <w:color w:val="auto"/>
        </w:rPr>
      </w:pPr>
      <w:r>
        <w:rPr>
          <w:rFonts w:ascii="Arial" w:cs="Arial" w:eastAsia="Arial" w:hAnsi="Arial"/>
          <w:sz w:val="17"/>
          <w:szCs w:val="17"/>
          <w:color w:val="auto"/>
        </w:rPr>
        <w:t>A significant portion of our employee base, and our primary operating facility and infrastructure are centralized in Northern California. Our facility may be harmed or rendered inoperable by natural or man-made disasters, including earthquakes, wildfires, floods, nuclear disasters, riots, acts of terrorism or other criminal activities, public health emergencies such as infectious disease outbreaks,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suppliers and manufacturers may be harmed or rendered inoperable by such natural or man-made disasters, which may cause disruptions, difficulties or otherwise materially and adversely affect our business, financial condition and results of operations.</w:t>
      </w:r>
    </w:p>
    <w:p>
      <w:pPr>
        <w:spacing w:after="0" w:line="12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The sizes of the addressable markets for our AquaBeam Robotic System have not been established with precision and our potential market opportunity may be smaller than we estimate and may decline.</w:t>
      </w:r>
    </w:p>
    <w:p>
      <w:pPr>
        <w:spacing w:after="0" w:line="113" w:lineRule="exact"/>
        <w:rPr>
          <w:sz w:val="20"/>
          <w:szCs w:val="20"/>
          <w:color w:val="auto"/>
        </w:rPr>
      </w:pPr>
    </w:p>
    <w:p>
      <w:pPr>
        <w:ind w:right="60" w:firstLine="309"/>
        <w:spacing w:after="0" w:line="297" w:lineRule="auto"/>
        <w:rPr>
          <w:sz w:val="20"/>
          <w:szCs w:val="20"/>
          <w:color w:val="auto"/>
        </w:rPr>
      </w:pPr>
      <w:r>
        <w:rPr>
          <w:rFonts w:ascii="Arial" w:cs="Arial" w:eastAsia="Arial" w:hAnsi="Arial"/>
          <w:sz w:val="15"/>
          <w:szCs w:val="15"/>
          <w:color w:val="auto"/>
        </w:rPr>
        <w:t>Our estimates of the annual total addressable market for our AquaBeam Robotic System are based on a number of internal and third-party estimates, including, without limitation, the assumed prices at which we can sell our AquaBeam Robotic System and the single-use disposable handpieces.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AquaBeam Robotic System may prove to be incorrect. If the actual number of patients who would benefit from our AquaBeam Robotic System, the price at which we can sell our AquaBeam Robotic System, or the total addressable market for our AquaBeam Robotic System is smaller than we have estimated, it may impair our sales growth and materially and adversely affect our business, financial condition and results of operations.</w:t>
      </w:r>
    </w:p>
    <w:p>
      <w:pPr>
        <w:spacing w:after="0" w:line="10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Until we are able to achieve broader market acceptance of our AquaBeam Robotic System and Aquablation therapy, we may face risks associated with a more concentrated customer base.</w:t>
      </w:r>
    </w:p>
    <w:p>
      <w:pPr>
        <w:spacing w:after="0" w:line="113"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color w:val="auto"/>
        </w:rPr>
        <w:t>No customers accounted for more than 10% of revenue during the years ended December 31, 2022 and 2021. No customers accounted for more than 10% of our accounts receivable at December 31, 2022. One of our customers accounted for 11% of our accounts receivable at December 31, 2021.While we believe this concentration is primarily attributable to our limited history of commercial operations, until we are able to achieve broader market acceptance of our AquaBeam Robotic System and Aquablation therapy, we may face risks associated with a more concentrated customer base. There are risks whenever a significant percentage of revenue is concentrated with a limited number of customers. For example, revenue from these customers may fluctuate from time to time based on these customers’ business needs, the timing of which may be affected by market conditions or other facts outside of our control. These customers could also potentially pressure us to reduce the prices we charge for our single-use disposable handpieces, which could have an adverse effect on our margins and financial position and could negatively affect our revenue and results of operations. If any of our largest customers terminates its relationship with us, such termination could negatively affect our revenues and results of operations.</w:t>
      </w:r>
    </w:p>
    <w:p>
      <w:pPr>
        <w:spacing w:after="0" w:line="12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b w:val="1"/>
          <w:bCs w:val="1"/>
          <w:i w:val="1"/>
          <w:iCs w:val="1"/>
          <w:color w:val="auto"/>
        </w:rPr>
        <w:t>If product liability lawsuits are brought against us, we may incur substantial liabilities and may be required to limit or halt the marketing and sale of our products. The expense and potential unavailability of insurance coverage for liabilities resulting from our products could harm us and our ability to sell our products.</w:t>
      </w:r>
    </w:p>
    <w:p>
      <w:pPr>
        <w:spacing w:after="0" w:line="124" w:lineRule="exact"/>
        <w:rPr>
          <w:sz w:val="20"/>
          <w:szCs w:val="20"/>
          <w:color w:val="auto"/>
        </w:rPr>
      </w:pPr>
    </w:p>
    <w:p>
      <w:pPr>
        <w:ind w:right="60" w:firstLine="309"/>
        <w:spacing w:after="0" w:line="297" w:lineRule="auto"/>
        <w:rPr>
          <w:sz w:val="20"/>
          <w:szCs w:val="20"/>
          <w:color w:val="auto"/>
        </w:rPr>
      </w:pPr>
      <w:r>
        <w:rPr>
          <w:rFonts w:ascii="Arial" w:cs="Arial" w:eastAsia="Arial" w:hAnsi="Arial"/>
          <w:sz w:val="15"/>
          <w:szCs w:val="15"/>
          <w:color w:val="auto"/>
        </w:rPr>
        <w:t>We face an inherent risk of product liability as a result of the marketing and sale of our products. For example, we may be sued if our AquaBeam Robotic System, the single-use disposable handpiece or any of their component parts causes, or is perceived to cause, injury or is found to be otherwise unsuitable during manufacturing, marketing or sale. We may also be subject to product liability claims if our products or services are deemed non-compliant with applicable laws or regulations.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We may also be subject to claims that are caused by the activities of our suppliers, such as those who provide us with components and sub-assemblies, or manufacturers who produce our AquaBeam Robotic System and the single-use disposable handpieces.</w:t>
      </w:r>
    </w:p>
    <w:p>
      <w:pPr>
        <w:spacing w:after="0" w:line="104"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If we cannot successfully defend ourselves against product liability claims, we may incur substantial liabilities or be required to limit or halt the marketing and sale of our products. Even successful defense would require significant financial and management resources. Regardless of the merits or eventual outcome, liability claims may result in:</w:t>
      </w:r>
    </w:p>
    <w:p>
      <w:pPr>
        <w:spacing w:after="0" w:line="124" w:lineRule="exact"/>
        <w:rPr>
          <w:sz w:val="20"/>
          <w:szCs w:val="20"/>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harm to our reputation;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initiation of investigations by regulators, which could result in enforcement action against us or our contract manufacturers;</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exhaustion of any available insurance and our capital resources.</w:t>
      </w:r>
    </w:p>
    <w:p>
      <w:pPr>
        <w:spacing w:after="0" w:line="165" w:lineRule="exact"/>
        <w:rPr>
          <w:sz w:val="20"/>
          <w:szCs w:val="20"/>
          <w:color w:val="auto"/>
        </w:rPr>
      </w:pPr>
    </w:p>
    <w:p>
      <w:pPr>
        <w:ind w:right="20" w:firstLine="309"/>
        <w:spacing w:after="0" w:line="256" w:lineRule="auto"/>
        <w:rPr>
          <w:sz w:val="20"/>
          <w:szCs w:val="20"/>
          <w:color w:val="auto"/>
        </w:rPr>
      </w:pPr>
      <w:r>
        <w:rPr>
          <w:rFonts w:ascii="Arial" w:cs="Arial" w:eastAsia="Arial" w:hAnsi="Arial"/>
          <w:sz w:val="17"/>
          <w:szCs w:val="17"/>
          <w:color w:val="auto"/>
        </w:rPr>
        <w:t>The risk of a product liability lawsuit may increase if our products were deemed to be non-compliant with applicable laws and regulation. In the event we face a product liability lawsuit, 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products.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32"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b w:val="1"/>
          <w:bCs w:val="1"/>
          <w:i w:val="1"/>
          <w:iCs w:val="1"/>
          <w:color w:val="auto"/>
        </w:rPr>
        <w:t>Cost-containment efforts of our customers, purchasing groups and governmental organizations could have a material adverse effect on our sales and profitability.</w:t>
      </w:r>
    </w:p>
    <w:p>
      <w:pPr>
        <w:spacing w:after="0" w:line="113" w:lineRule="exact"/>
        <w:rPr>
          <w:sz w:val="20"/>
          <w:szCs w:val="20"/>
          <w:color w:val="auto"/>
        </w:rPr>
      </w:pPr>
    </w:p>
    <w:p>
      <w:pPr>
        <w:ind w:right="60" w:firstLine="309"/>
        <w:spacing w:after="0" w:line="277" w:lineRule="auto"/>
        <w:rPr>
          <w:sz w:val="20"/>
          <w:szCs w:val="20"/>
          <w:color w:val="auto"/>
        </w:rPr>
      </w:pPr>
      <w:r>
        <w:rPr>
          <w:rFonts w:ascii="Arial" w:cs="Arial" w:eastAsia="Arial" w:hAnsi="Arial"/>
          <w:sz w:val="16"/>
          <w:szCs w:val="16"/>
          <w:color w:val="auto"/>
        </w:rPr>
        <w:t>In an effort to reduce costs, many hospitals in the United States have become members of GPOs and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AquaBeam Robotic System, thereby reducing our revenue and margins.</w:t>
      </w:r>
    </w:p>
    <w:p>
      <w:pPr>
        <w:spacing w:after="0" w:line="118" w:lineRule="exact"/>
        <w:rPr>
          <w:sz w:val="20"/>
          <w:szCs w:val="20"/>
          <w:color w:val="auto"/>
        </w:rPr>
      </w:pPr>
    </w:p>
    <w:p>
      <w:pPr>
        <w:ind w:firstLine="309"/>
        <w:spacing w:after="0" w:line="279" w:lineRule="auto"/>
        <w:rPr>
          <w:sz w:val="20"/>
          <w:szCs w:val="20"/>
          <w:color w:val="auto"/>
        </w:rPr>
      </w:pPr>
      <w:r>
        <w:rPr>
          <w:rFonts w:ascii="Arial" w:cs="Arial" w:eastAsia="Arial" w:hAnsi="Arial"/>
          <w:sz w:val="16"/>
          <w:szCs w:val="16"/>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13" w:lineRule="exact"/>
        <w:rPr>
          <w:sz w:val="20"/>
          <w:szCs w:val="20"/>
          <w:color w:val="auto"/>
        </w:rPr>
      </w:pPr>
    </w:p>
    <w:p>
      <w:pPr>
        <w:ind w:right="20" w:firstLine="309"/>
        <w:spacing w:after="0" w:line="275" w:lineRule="auto"/>
        <w:rPr>
          <w:sz w:val="20"/>
          <w:szCs w:val="20"/>
          <w:color w:val="auto"/>
        </w:rPr>
      </w:pPr>
      <w:r>
        <w:rPr>
          <w:rFonts w:ascii="Arial" w:cs="Arial" w:eastAsia="Arial" w:hAnsi="Arial"/>
          <w:sz w:val="16"/>
          <w:szCs w:val="16"/>
          <w:color w:val="auto"/>
        </w:rPr>
        <w:t>We may form or seek strategic alliances, create joint ventures or collaborations or enter into licensing or partnership arrangements with third parties that we believe will compliment or augment our sales and marketing efforts with respect to our AquaBeam Robotic System. We may not be successful in our efforts to establish such collaborations.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w:t>
      </w: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collaborations we enter into in the future, or delays in entering into new strategic partnership agreements could delay tour sales and marketing efforts, which would harm our business prospects, financial condition and results of operations.</w:t>
      </w:r>
    </w:p>
    <w:p>
      <w:pPr>
        <w:spacing w:after="0" w:line="11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113" w:lineRule="exact"/>
        <w:rPr>
          <w:sz w:val="20"/>
          <w:szCs w:val="20"/>
          <w:color w:val="auto"/>
        </w:rPr>
      </w:pPr>
    </w:p>
    <w:p>
      <w:pPr>
        <w:ind w:right="380" w:firstLine="309"/>
        <w:spacing w:after="0" w:line="302" w:lineRule="auto"/>
        <w:rPr>
          <w:sz w:val="20"/>
          <w:szCs w:val="20"/>
          <w:color w:val="auto"/>
        </w:rPr>
      </w:pPr>
      <w:r>
        <w:rPr>
          <w:rFonts w:ascii="Arial" w:cs="Arial" w:eastAsia="Arial" w:hAnsi="Arial"/>
          <w:sz w:val="15"/>
          <w:szCs w:val="15"/>
          <w:color w:val="auto"/>
        </w:rPr>
        <w:t>We currently market and sell our products in 12 countries outside of the United States, including Germany, France, Italy, Spain, the United Kingdom, and Portugal. The sale and shipment of our products across international borders, as well as the purchase of components and products from international sources, subjects us to extensive U.S. and other foreign governmental trade, import and export and customs laws and regulations. Compliance with these laws and regulations is costly and exposes us to penalties for non-compliance. We expect our international activities will be dynamic over the foreseeable future as we continue to pursue opportunities in international markets. Our international business operations are subject to a variety of risks, including:</w:t>
      </w:r>
    </w:p>
    <w:p>
      <w:pPr>
        <w:spacing w:after="0" w:line="101" w:lineRule="exact"/>
        <w:rPr>
          <w:sz w:val="20"/>
          <w:szCs w:val="20"/>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staffing and managing foreign and geographically dispersed operations, to the extent we establish non-U.S. operations;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differing and multiple payor reimbursement regimes, government payors or patient self-pay systems;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difficulties in determining and creating the proper sales pathway in new, international markets;</w:t>
      </w:r>
    </w:p>
    <w:p>
      <w:pPr>
        <w:spacing w:after="0" w:line="165"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the extent we utilize third-party distributors in foreign markets, our ability to effectively screen, recruit and retain qualified third-party distributors and training them in our technology and product offering and business;</w:t>
      </w:r>
    </w:p>
    <w:p>
      <w:pPr>
        <w:spacing w:after="0" w:line="112"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compliance with various U.S. and international laws, including export control laws and the U.S. Foreign Corrupt Practices Act of 1977, or the FCPA, and anti-money laundering laws;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differing regulatory requirements for obtaining clearances or approvals to market our products;</w:t>
      </w:r>
    </w:p>
    <w:p>
      <w:pPr>
        <w:spacing w:after="0" w:line="165" w:lineRule="exact"/>
        <w:rPr>
          <w:rFonts w:ascii="Arial" w:cs="Arial" w:eastAsia="Arial" w:hAnsi="Arial"/>
          <w:sz w:val="17"/>
          <w:szCs w:val="17"/>
          <w:color w:val="auto"/>
        </w:rPr>
      </w:pPr>
    </w:p>
    <w:p>
      <w:pPr>
        <w:ind w:left="620" w:right="6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or uncertainties relating to, foreign rules and regulations that may impact our ability to sell our products, perform services or repatriate profits to the United States;</w:t>
      </w:r>
    </w:p>
    <w:p>
      <w:pPr>
        <w:spacing w:after="0" w:line="112" w:lineRule="exact"/>
        <w:rPr>
          <w:rFonts w:ascii="Arial" w:cs="Arial" w:eastAsia="Arial" w:hAnsi="Arial"/>
          <w:sz w:val="17"/>
          <w:szCs w:val="17"/>
          <w:color w:val="auto"/>
        </w:rPr>
      </w:pPr>
    </w:p>
    <w:p>
      <w:pPr>
        <w:ind w:left="620" w:right="4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tariffs and trade barriers, export regulations, sanctions and other regulatory and contractual limitations on our ability to sell our products in certain foreign markets;</w:t>
      </w:r>
    </w:p>
    <w:p>
      <w:pPr>
        <w:spacing w:after="0" w:line="112" w:lineRule="exact"/>
        <w:rPr>
          <w:rFonts w:ascii="Arial" w:cs="Arial" w:eastAsia="Arial" w:hAnsi="Arial"/>
          <w:sz w:val="17"/>
          <w:szCs w:val="17"/>
          <w:color w:val="auto"/>
        </w:rPr>
      </w:pPr>
    </w:p>
    <w:p>
      <w:pPr>
        <w:ind w:left="620" w:right="14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potential adverse tax consequences, including imposition of limitations on or increase of withholding and other taxes on remittances and other payments by foreign subsidiaries or joint ventures;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imposition of differing labor laws and standards;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armed conflicts or economic, political or social instability in foreign countries and regions;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inability, or reduced ability, to protect our intellectual property, including any effect of compulsory licensing imposed by government action; and</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availability of government subsidies or other incentives that benefit competitors in their local markets that are not available to us.</w:t>
      </w:r>
    </w:p>
    <w:p>
      <w:pPr>
        <w:spacing w:after="0" w:line="165" w:lineRule="exact"/>
        <w:rPr>
          <w:sz w:val="20"/>
          <w:szCs w:val="20"/>
          <w:color w:val="auto"/>
        </w:rPr>
      </w:pPr>
    </w:p>
    <w:p>
      <w:pPr>
        <w:ind w:right="100" w:firstLine="309"/>
        <w:spacing w:after="0" w:line="266" w:lineRule="auto"/>
        <w:rPr>
          <w:sz w:val="20"/>
          <w:szCs w:val="20"/>
          <w:color w:val="auto"/>
        </w:rPr>
      </w:pPr>
      <w:r>
        <w:rPr>
          <w:rFonts w:ascii="Arial" w:cs="Arial" w:eastAsia="Arial" w:hAnsi="Arial"/>
          <w:sz w:val="17"/>
          <w:szCs w:val="17"/>
          <w:color w:val="auto"/>
        </w:rPr>
        <w:t>We are assessing the opportunity to expand into other international markets. However, our expansion plans may not be realized, or if realized, may not be successful. We expect each market to have particular regulatory hurdles to overcome, and future developments in these markets, including the uncertainty relating to governmental policies and regulations, could harm our business.</w:t>
      </w:r>
    </w:p>
    <w:p>
      <w:pPr>
        <w:spacing w:after="0" w:line="124"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13" w:lineRule="exact"/>
        <w:rPr>
          <w:sz w:val="20"/>
          <w:szCs w:val="20"/>
          <w:color w:val="auto"/>
        </w:rPr>
      </w:pPr>
    </w:p>
    <w:p>
      <w:pPr>
        <w:ind w:firstLine="309"/>
        <w:spacing w:after="0" w:line="283" w:lineRule="auto"/>
        <w:rPr>
          <w:sz w:val="20"/>
          <w:szCs w:val="20"/>
          <w:color w:val="auto"/>
        </w:rPr>
      </w:pPr>
      <w:r>
        <w:rPr>
          <w:rFonts w:ascii="Arial" w:cs="Arial" w:eastAsia="Arial" w:hAnsi="Arial"/>
          <w:sz w:val="16"/>
          <w:szCs w:val="16"/>
          <w:color w:val="auto"/>
        </w:rPr>
        <w:t>We are highly dependent on our senior management, including our chief executive officer, Reza Zadno, Ph.D., and other key personnel. Our success will depend on our ability to retain senior management and to attract, recruit, retain, manage and motivate qualified personnel in the future, particularly with respect to an expected increase in hiring in connection with becoming a public company, including sales and marketing professionals, scientists, clinical specialists, engineers and other highly skilled personnel and to integrate current and additional personnel in all departments. The loss</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24"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Competition for skilled personnel in our market is intense and may limit our ability to hire and retain highly qualified personnel on acceptable terms, or at all. To induce valuable employees to remain at our company, we have issued and may continue to issue equity awards that vest over time, in addition to salary and cash incentives.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 This lack of insurance means that we may not have adequate compensation for the loss of the services of these individuals.</w:t>
      </w:r>
    </w:p>
    <w:p>
      <w:pPr>
        <w:spacing w:after="0" w:line="118"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b w:val="1"/>
          <w:bCs w:val="1"/>
          <w:i w:val="1"/>
          <w:iCs w:val="1"/>
          <w:color w:val="auto"/>
        </w:rPr>
        <w:t>We could be adversely affected by violations of the FCPA and similar worldwide anti-bribery laws, as well as violations of export or import controls or economic sanctions laws and regulations. Any investigation, and the outcome of any investigation, by government agencies of possible violations by us of such laws and regulations could have a material adverse effect on our business.</w:t>
      </w:r>
    </w:p>
    <w:p>
      <w:pPr>
        <w:spacing w:after="0" w:line="124" w:lineRule="exact"/>
        <w:rPr>
          <w:sz w:val="20"/>
          <w:szCs w:val="20"/>
          <w:color w:val="auto"/>
        </w:rPr>
      </w:pPr>
    </w:p>
    <w:p>
      <w:pPr>
        <w:ind w:right="60" w:firstLine="309"/>
        <w:spacing w:after="0" w:line="257" w:lineRule="auto"/>
        <w:rPr>
          <w:sz w:val="20"/>
          <w:szCs w:val="20"/>
          <w:color w:val="auto"/>
        </w:rPr>
      </w:pPr>
      <w:r>
        <w:rPr>
          <w:rFonts w:ascii="Arial" w:cs="Arial" w:eastAsia="Arial" w:hAnsi="Arial"/>
          <w:sz w:val="17"/>
          <w:szCs w:val="17"/>
          <w:color w:val="auto"/>
        </w:rPr>
        <w:t>We are subject to anti-corruption laws and regulations, including the U.S. Foreign Corrupt Practices Act of 1977, as amended, the U.S. domestic bribery statute in 18 U.S.C. 201, the International Travel Act of 1961, as amended, or the U.S. Travel Act, the U.K. Bribery Act 2010, or the Bribery Act, and similar anti-bribery laws in jurisdictions in which we conduct activities. Anti-corruption laws are interpreted broadly and prohibit companies and their employees, agents, and intermediaries from corruptly authorizing, promising, providing, or offering, directly or indirectly, improper payments or anything else of value to government officials and persons in the private sector for the purpose of obtaining or retaining business. In addition, an organization that fails to prevent bribery by anyone associated with the organization can be charged under the Bribery Act, unless the organization can establish the defense of having implemented adequate procedures to prevent bribery.</w:t>
      </w:r>
    </w:p>
    <w:p>
      <w:pPr>
        <w:spacing w:after="0" w:line="133" w:lineRule="exact"/>
        <w:rPr>
          <w:sz w:val="20"/>
          <w:szCs w:val="20"/>
          <w:color w:val="auto"/>
        </w:rPr>
      </w:pPr>
    </w:p>
    <w:p>
      <w:pPr>
        <w:ind w:right="40" w:firstLine="309"/>
        <w:spacing w:after="0" w:line="302" w:lineRule="auto"/>
        <w:rPr>
          <w:sz w:val="20"/>
          <w:szCs w:val="20"/>
          <w:color w:val="auto"/>
        </w:rPr>
      </w:pPr>
      <w:r>
        <w:rPr>
          <w:rFonts w:ascii="Arial" w:cs="Arial" w:eastAsia="Arial" w:hAnsi="Arial"/>
          <w:sz w:val="15"/>
          <w:szCs w:val="15"/>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require us to obtain licenses and authorizations prior to export, create delays in the introduction of our products in certain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w:t>
      </w:r>
    </w:p>
    <w:p>
      <w:pPr>
        <w:spacing w:after="0" w:line="101" w:lineRule="exact"/>
        <w:rPr>
          <w:sz w:val="20"/>
          <w:szCs w:val="20"/>
          <w:color w:val="auto"/>
        </w:rPr>
      </w:pPr>
    </w:p>
    <w:p>
      <w:pPr>
        <w:ind w:right="40" w:firstLine="309"/>
        <w:spacing w:after="0" w:line="273" w:lineRule="auto"/>
        <w:rPr>
          <w:sz w:val="20"/>
          <w:szCs w:val="20"/>
          <w:color w:val="auto"/>
        </w:rPr>
      </w:pPr>
      <w:r>
        <w:rPr>
          <w:rFonts w:ascii="Arial" w:cs="Arial" w:eastAsia="Arial" w:hAnsi="Arial"/>
          <w:sz w:val="16"/>
          <w:szCs w:val="16"/>
          <w:color w:val="auto"/>
        </w:rPr>
        <w:t>We are in the process of further enhancing policies designed to ensure compliance by us and our directors, officers, employees, representatives, consultants and agents with the FCPA, the Bribery Act, OFAC laws and regulations, and other export control, anti-corruption, anti-money-laundering and anti-terrorism laws and regulations. In the future, we may operate in parts of the world that pose a heightened corruption risk. Moreover, because of the significant role government entities play in the regulation of many foreign healthcare markets, we may be exposed to heightened FCPA and similar risks arising from our efforts to seek regulatory approval of and reimbursement for our products in such countries. We cannot assure you that our internal control policies and procedures will protect us from improper acts committed by our employees or agents, nor can we assure you that our business partners have not engaged and will not engage in improper conduct that could materially affect their ability to perform their contractual obligations to us or even result in our being held liable for such conduct. The U.S. Departments of Justice, Commerce, State and Treasury and other federal agencies and authorities have a broad range of civil and criminal penalties they may seek to impose against corporations and individuals for violations of anti-corruption laws, economic sanctions laws, and export control and import laws. In addition, violations of these laws, or allegations of such violations, would significantly disrupt our business and have a material adverse effect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research and development credit may be limited.</w:t>
      </w:r>
    </w:p>
    <w:p>
      <w:pPr>
        <w:spacing w:after="0" w:line="165" w:lineRule="exact"/>
        <w:rPr>
          <w:sz w:val="20"/>
          <w:szCs w:val="20"/>
          <w:color w:val="auto"/>
        </w:rPr>
      </w:pPr>
    </w:p>
    <w:p>
      <w:pPr>
        <w:ind w:right="300" w:firstLine="309"/>
        <w:spacing w:after="0" w:line="262" w:lineRule="auto"/>
        <w:rPr>
          <w:sz w:val="20"/>
          <w:szCs w:val="20"/>
          <w:color w:val="auto"/>
        </w:rPr>
      </w:pPr>
      <w:r>
        <w:rPr>
          <w:rFonts w:ascii="Arial" w:cs="Arial" w:eastAsia="Arial" w:hAnsi="Arial"/>
          <w:sz w:val="17"/>
          <w:szCs w:val="17"/>
          <w:color w:val="auto"/>
        </w:rPr>
        <w:t>As of December 31, 2022, we had U.S. federal and state net operating loss, or NOL, carryforwards of approximately $264.6 million and $155.7 million, respectively, and U.S. federal and state research and development credit carryforwards of $6.0 million and $4.8 million, respectively. NOLs incurred in taxable years beginning after December 31, 2017, may be carried forward indefinitely, but the deductibility of such federal NOLs in taxable years beginning after December 31,</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93" w:lineRule="auto"/>
        <w:rPr>
          <w:sz w:val="20"/>
          <w:szCs w:val="20"/>
          <w:color w:val="auto"/>
        </w:rPr>
      </w:pPr>
      <w:r>
        <w:rPr>
          <w:rFonts w:ascii="Arial" w:cs="Arial" w:eastAsia="Arial" w:hAnsi="Arial"/>
          <w:sz w:val="15"/>
          <w:szCs w:val="15"/>
          <w:color w:val="auto"/>
        </w:rPr>
        <w:t>2020, is limited to 80% of current year taxable income. In general, under Sections 382 and 383 of the Internal Revenue Code of 1986, as amended, or the Code, a corporation that undergoes an “ownership change,” generally defined as a greater than 50 percentage point change by value in its equity ownership over a rolling three-year period, is subject to limitations on its ability to utilize its pre-change NOLs and its research and development credit carryforwards to offset post-change taxable income. Similar rules may apply under state tax laws. Our existing NOLs and research and development credit carryforwards have been, and may in the future be, subject to limitations arising from previous ownership changes, and if we undergo an ownership change, our ability to utilize NOLs and research and development credit carryforwards could be further limited by Sections 382 and 383 of the Code. Future changes in our stock ownership, some of which might be beyond our control, could result in an ownership change under Section 382 of the Code. For these reasons, in the event we experience a future change of control, we may not be able to utilize a material portion of the NOLs, research and development credit carryforwards or disallowed interest expense carryovers, even if we attain profitability. In addition, for state income tax purposes, the extent to which states will conform to the federal laws is uncertain and there may be periods during which the use of NOL carryforwards is suspended or otherwise limited, which could accelerate or permanently increase state taxes owed.</w:t>
      </w:r>
    </w:p>
    <w:p>
      <w:pPr>
        <w:spacing w:after="0" w:line="112" w:lineRule="exact"/>
        <w:rPr>
          <w:sz w:val="20"/>
          <w:szCs w:val="20"/>
          <w:color w:val="auto"/>
        </w:rPr>
      </w:pPr>
    </w:p>
    <w:p>
      <w:pPr>
        <w:ind w:right="280" w:firstLine="309"/>
        <w:spacing w:after="0" w:line="266" w:lineRule="auto"/>
        <w:rPr>
          <w:sz w:val="20"/>
          <w:szCs w:val="20"/>
          <w:color w:val="auto"/>
        </w:rPr>
      </w:pPr>
      <w:r>
        <w:rPr>
          <w:rFonts w:ascii="Arial" w:cs="Arial" w:eastAsia="Arial" w:hAnsi="Arial"/>
          <w:sz w:val="17"/>
          <w:szCs w:val="17"/>
          <w:color w:val="auto"/>
        </w:rPr>
        <w:t>In addition, the tax benefit of NOLs, temporary differences and credit carryforwards are required to be recorded as an asset to the extent that we assess that realization is more likely than not. We believe that recognition of the deferred tax asset arising from these future tax benefits is not likely to be realized and, accordingly, have provided a full valuation allowance against our net deferred tax asset.</w:t>
      </w:r>
    </w:p>
    <w:p>
      <w:pPr>
        <w:spacing w:after="0" w:line="12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13"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As part of our business strategy, we may in the future make acquisitions or investments in complementary companies, products or technologies that we believe fit within our business model and can address the needs of our existing and potential customers. However,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33" w:lineRule="exact"/>
        <w:rPr>
          <w:sz w:val="20"/>
          <w:szCs w:val="20"/>
          <w:color w:val="auto"/>
        </w:rPr>
      </w:pPr>
    </w:p>
    <w:p>
      <w:pPr>
        <w:ind w:firstLine="309"/>
        <w:spacing w:after="0" w:line="274"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21" w:lineRule="exact"/>
        <w:rPr>
          <w:sz w:val="20"/>
          <w:szCs w:val="20"/>
          <w:color w:val="auto"/>
        </w:rPr>
      </w:pPr>
    </w:p>
    <w:p>
      <w:pPr>
        <w:ind w:right="80" w:firstLine="309"/>
        <w:spacing w:after="0" w:line="302" w:lineRule="auto"/>
        <w:rPr>
          <w:sz w:val="20"/>
          <w:szCs w:val="20"/>
          <w:color w:val="auto"/>
        </w:rPr>
      </w:pPr>
      <w:r>
        <w:rPr>
          <w:rFonts w:ascii="Arial" w:cs="Arial" w:eastAsia="Arial" w:hAnsi="Arial"/>
          <w:sz w:val="15"/>
          <w:szCs w:val="15"/>
          <w:color w:val="auto"/>
        </w:rPr>
        <w:t>Also, the anticipated benefit of any acquisition may not materialize, or such acquisition may be prohibited. In October 2022, we entered into the loan and security agreement with Canadian Imperial Bank of Commerce which 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3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Governmental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reimbursement rates for BPH treatments and measures to reduce healthcare costs may adversely impact our business.</w:t>
      </w:r>
    </w:p>
    <w:p>
      <w:pPr>
        <w:spacing w:after="0" w:line="165" w:lineRule="exact"/>
        <w:rPr>
          <w:sz w:val="20"/>
          <w:szCs w:val="20"/>
          <w:color w:val="auto"/>
        </w:rPr>
      </w:pPr>
    </w:p>
    <w:p>
      <w:pPr>
        <w:ind w:firstLine="309"/>
        <w:spacing w:after="0" w:line="272" w:lineRule="auto"/>
        <w:rPr>
          <w:sz w:val="20"/>
          <w:szCs w:val="20"/>
          <w:color w:val="auto"/>
        </w:rPr>
      </w:pPr>
      <w:r>
        <w:rPr>
          <w:rFonts w:ascii="Arial" w:cs="Arial" w:eastAsia="Arial" w:hAnsi="Arial"/>
          <w:sz w:val="16"/>
          <w:szCs w:val="16"/>
          <w:color w:val="auto"/>
        </w:rPr>
        <w:t>We derive our revenue from sales of our products to hospitals, ambulatory surgery centers and other healthcare facilities, which typically bill all or a portion of the costs and fees associated with using our products to various third-party payors, including Medicare, Medicaid, private commercial insurance companies, health maintenance organizations and other healthcare-related organizations. Because a vast majority of U.S. patients with BPH are covered by Medicare, the Medicare coverage policy and reimbursement rate are important factors in a physician’s decision to use Aquablation therapy and limits the prices we may charge for our products. In order to facilitate access for Medicare beneficiaries to new devices, the Centers for Medicare &amp; Medicaid Services, or CMS, the federal agency responsible for administering the Medicare program, grants approval for transitional pass-through payments under the Medicare hospital outpatient prospective payment system, or OPPS, and ambulatory surgical center, or ASC, payment system for medical devices that meet certain criteria. Effective January 1, 2020, hospitals and ASCs receive an additional payment for the single-use handpiece when performing Aquablation therapy in the hospital outpatient setting, which has been extended until December 31, 2023. When that payment expires, hospitals will no longer receive separate reimbursement for our device and instead, receive a single bundled payment rate intended to cover the costs of all items and services, including our products, using during the Aquablation therapy. Accordingly, the additional cost associated with the use of our products may affect the profit margin of the hospital or ASC where the procedure is performed. Some of our target customers may be unwilling to adopt our products in light of potential additional associated cost.</w:t>
      </w:r>
    </w:p>
    <w:p>
      <w:pPr>
        <w:spacing w:after="0" w:line="128" w:lineRule="exact"/>
        <w:rPr>
          <w:sz w:val="20"/>
          <w:szCs w:val="20"/>
          <w:color w:val="auto"/>
        </w:rPr>
      </w:pPr>
    </w:p>
    <w:p>
      <w:pPr>
        <w:ind w:right="320" w:firstLine="309"/>
        <w:spacing w:after="0" w:line="266" w:lineRule="auto"/>
        <w:rPr>
          <w:sz w:val="20"/>
          <w:szCs w:val="20"/>
          <w:color w:val="auto"/>
        </w:rPr>
      </w:pPr>
      <w:r>
        <w:rPr>
          <w:rFonts w:ascii="Arial" w:cs="Arial" w:eastAsia="Arial" w:hAnsi="Arial"/>
          <w:sz w:val="17"/>
          <w:szCs w:val="17"/>
          <w:color w:val="auto"/>
        </w:rPr>
        <w:t>Many BPH patients have Medicaid coverage that is supplemental to Medicare coverage, and some BPH patients may have Medicaid as their primary coverage. Because Medicaid is a state-administered program, Medicaid coverage policies and reimbursement vary by state. Changes in state Medicaid or other non-Medicare government-based programs or payment rates could have an adverse effect on our customer’s business.</w:t>
      </w:r>
    </w:p>
    <w:p>
      <w:pPr>
        <w:spacing w:after="0" w:line="124" w:lineRule="exact"/>
        <w:rPr>
          <w:sz w:val="20"/>
          <w:szCs w:val="20"/>
          <w:color w:val="auto"/>
        </w:rPr>
      </w:pPr>
    </w:p>
    <w:p>
      <w:pPr>
        <w:ind w:right="240" w:firstLine="309"/>
        <w:spacing w:after="0" w:line="259" w:lineRule="auto"/>
        <w:rPr>
          <w:sz w:val="20"/>
          <w:szCs w:val="20"/>
          <w:color w:val="auto"/>
        </w:rPr>
      </w:pPr>
      <w:r>
        <w:rPr>
          <w:rFonts w:ascii="Arial" w:cs="Arial" w:eastAsia="Arial" w:hAnsi="Arial"/>
          <w:sz w:val="17"/>
          <w:szCs w:val="17"/>
          <w:color w:val="auto"/>
        </w:rPr>
        <w:t>Finally, some patients may have coverage through private insurance, for example through a marketplace plan set up under the Patient Protection and Affordable Care Act, as amended by the Health Care and Education Reconciliation Act, or collectively, the ACA, or through an employer or union group health plan. Private insurance coverage policies can vary and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w:t>
      </w:r>
    </w:p>
    <w:p>
      <w:pPr>
        <w:spacing w:after="0" w:line="131" w:lineRule="exact"/>
        <w:rPr>
          <w:sz w:val="20"/>
          <w:szCs w:val="20"/>
          <w:color w:val="auto"/>
        </w:rPr>
      </w:pPr>
    </w:p>
    <w:p>
      <w:pPr>
        <w:ind w:right="620" w:firstLine="309"/>
        <w:spacing w:after="0" w:line="349" w:lineRule="auto"/>
        <w:rPr>
          <w:sz w:val="20"/>
          <w:szCs w:val="20"/>
          <w:color w:val="auto"/>
        </w:rPr>
      </w:pPr>
      <w:r>
        <w:rPr>
          <w:rFonts w:ascii="Arial" w:cs="Arial" w:eastAsia="Arial" w:hAnsi="Arial"/>
          <w:sz w:val="15"/>
          <w:szCs w:val="15"/>
          <w:color w:val="auto"/>
        </w:rPr>
        <w:t>Any reduction in reimbursement rates for Aquablation therapy may adversely affect our customers’ businesses and cause them to enact cost reduction measures that may include reducing the scope of their programs, which could result in a reduced demand for our product or additional pricing pressures.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 measures could hinder or prevent the commercial success of our AquaBeam Robotic System.</w:t>
      </w:r>
    </w:p>
    <w:p>
      <w:pPr>
        <w:spacing w:after="0" w:line="165" w:lineRule="exact"/>
        <w:rPr>
          <w:sz w:val="20"/>
          <w:szCs w:val="20"/>
          <w:color w:val="auto"/>
        </w:rPr>
      </w:pPr>
    </w:p>
    <w:p>
      <w:pPr>
        <w:ind w:right="40" w:firstLine="309"/>
        <w:spacing w:after="0" w:line="299" w:lineRule="auto"/>
        <w:rPr>
          <w:sz w:val="20"/>
          <w:szCs w:val="20"/>
          <w:color w:val="auto"/>
        </w:rPr>
      </w:pPr>
      <w:r>
        <w:rPr>
          <w:rFonts w:ascii="Arial" w:cs="Arial" w:eastAsia="Arial" w:hAnsi="Arial"/>
          <w:sz w:val="15"/>
          <w:szCs w:val="15"/>
          <w:color w:val="auto"/>
        </w:rPr>
        <w:t>In the United States, there have been, and we expect there will continue to be, a number of legislative and regulatory changes to the healthcare system in ways that may harm our future revenues and profitability and the demand for our AquaBeam Robotic System.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AquaBeam Robotic System. The cost containment measures that payors and providers are instituting and the effect of any healthcare reform initiative implemented in the future could impact our revenue from the sale of our AquaBeam Robotic System.</w:t>
      </w:r>
    </w:p>
    <w:p>
      <w:pPr>
        <w:spacing w:after="0" w:line="103" w:lineRule="exact"/>
        <w:rPr>
          <w:sz w:val="20"/>
          <w:szCs w:val="20"/>
          <w:color w:val="auto"/>
        </w:rPr>
      </w:pPr>
    </w:p>
    <w:p>
      <w:pPr>
        <w:ind w:right="20" w:firstLine="309"/>
        <w:spacing w:after="0" w:line="275" w:lineRule="auto"/>
        <w:rPr>
          <w:sz w:val="20"/>
          <w:szCs w:val="20"/>
          <w:color w:val="auto"/>
        </w:rPr>
      </w:pPr>
      <w:r>
        <w:rPr>
          <w:rFonts w:ascii="Arial" w:cs="Arial" w:eastAsia="Arial" w:hAnsi="Arial"/>
          <w:sz w:val="16"/>
          <w:szCs w:val="16"/>
          <w:color w:val="auto"/>
        </w:rPr>
        <w:t>By way of example, in the United States, the ACA was enacted in March 2010 and substantially changed the way healthcare is financed by both governmental and private insurers, and significantly impacts our industry. The ACA contained a number of provisions, including those governing enrollment in federal healthcare programs, reimbursement changes and fraud and abuse measures, all of which have impacted existing government healthcare programs and will result in the development of new programs. Since its enactment, there have been numerous amendments to the ACA and revisions to implementing regulations, along with judicial, executive and Congressional challenges to certain aspects of the ACA. On June 17, 2021, the Supreme Court ruled that states and individuals lacked standing to challenge the constitutionality of the ACA’s individual mandate, post-repeal of its associated tax penalty. Additionally, President Biden issued an executive order that initiated a special enrollment period for purposes of obtaining health insurance coverage through the ACA marketplace, from February 15, 2021 to August 15, 2021. The executive order also instructed certain</w: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24" w:lineRule="exact"/>
        <w:rPr>
          <w:sz w:val="20"/>
          <w:szCs w:val="20"/>
          <w:color w:val="auto"/>
        </w:rPr>
      </w:pPr>
    </w:p>
    <w:p>
      <w:pPr>
        <w:ind w:right="20" w:firstLine="309"/>
        <w:spacing w:after="0" w:line="299" w:lineRule="auto"/>
        <w:rPr>
          <w:sz w:val="20"/>
          <w:szCs w:val="20"/>
          <w:color w:val="auto"/>
        </w:rPr>
      </w:pPr>
      <w:r>
        <w:rPr>
          <w:rFonts w:ascii="Arial" w:cs="Arial" w:eastAsia="Arial" w:hAnsi="Arial"/>
          <w:sz w:val="15"/>
          <w:szCs w:val="15"/>
          <w:color w:val="auto"/>
        </w:rPr>
        <w:t>In addition, other legislative changes have been proposed and adopted since the ACA was enacted. For example, the Budget Control Act of 2011, among other things, and in connection with subsequent legislation, reduced Medicare payments to providers of, on average, 2% per fiscal year, which went into effect on April 1, 2013 and, due to subsequent legislative amendments to the statute, will remain in effect through 2030, with the exception of a temporary suspension from May 1, 2020 through March 31, 2022 and a 1% reduction from April 1, 2022 through June 30, 2022, unless additional Congressional action is taken. Additionally, the American Taxpayer Relief Act of 2012, among other things, further reduced Medicare payments to several categories of healthcare providers, including hospitals, and increased the statute of limitations period for the government to recover Medicare overpayments to providers from three to five years.</w:t>
      </w:r>
    </w:p>
    <w:p>
      <w:pPr>
        <w:spacing w:after="0" w:line="103"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The continuing efforts of the government, insurance companies, managed care organizations and other payors of healthcare services to contain or reduce costs of healthcare may harm:</w:t>
      </w:r>
    </w:p>
    <w:p>
      <w:pPr>
        <w:spacing w:after="0" w:line="113" w:lineRule="exact"/>
        <w:rPr>
          <w:sz w:val="20"/>
          <w:szCs w:val="20"/>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set a price that we believe is fair for our AquaBeam Robotic System;</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ability to generate revenue and achieve or maintain profitability;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availability of capital.</w:t>
      </w:r>
    </w:p>
    <w:p>
      <w:pPr>
        <w:spacing w:after="0" w:line="165"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The current presidential administration and Congress may continue to pursue significant changes to the current healthcare laws. We cannot predict what other laws and regulations will ultimately be enacted and implemented at the federal or state level or the effect of any future legislation or regulation in the United States on our business, financial condition,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comply with anti-kickback, fraud and abuse, false claims, transparency, and other healthcare laws and regulations.</w:t>
      </w:r>
    </w:p>
    <w:p>
      <w:pPr>
        <w:spacing w:after="0" w:line="165" w:lineRule="exact"/>
        <w:rPr>
          <w:sz w:val="20"/>
          <w:szCs w:val="20"/>
          <w:color w:val="auto"/>
        </w:rPr>
      </w:pPr>
    </w:p>
    <w:p>
      <w:pPr>
        <w:ind w:firstLine="309"/>
        <w:spacing w:after="0" w:line="302" w:lineRule="auto"/>
        <w:rPr>
          <w:sz w:val="20"/>
          <w:szCs w:val="20"/>
          <w:color w:val="auto"/>
        </w:rPr>
      </w:pPr>
      <w:r>
        <w:rPr>
          <w:rFonts w:ascii="Arial" w:cs="Arial" w:eastAsia="Arial" w:hAnsi="Arial"/>
          <w:sz w:val="15"/>
          <w:szCs w:val="15"/>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hospitals, physicians or other potential purchasers or users, including patients, of medical devices and services. They also impose additional administrative and compliance burdens on us. In particular, these laws influence, among other things, how we structure our sales, placement and rental offerings, including discount practices, customer support, education and training programs and physician consulting and other service arrangements. The laws that affect our practices and arrangements include, but are not limited to:</w:t>
      </w:r>
    </w:p>
    <w:p>
      <w:pPr>
        <w:spacing w:after="0" w:line="101" w:lineRule="exact"/>
        <w:rPr>
          <w:sz w:val="20"/>
          <w:szCs w:val="20"/>
          <w:color w:val="auto"/>
        </w:rPr>
      </w:pPr>
    </w:p>
    <w:p>
      <w:pPr>
        <w:ind w:left="620" w:right="20" w:hanging="307"/>
        <w:spacing w:after="0" w:line="272" w:lineRule="auto"/>
        <w:tabs>
          <w:tab w:leader="none" w:pos="616"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 Moreover, there are no safe harbors for many common practices, such as reimbursement support programs, educational or research grants, or charitable donations;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line="291" w:lineRule="auto"/>
        <w:tabs>
          <w:tab w:leader="none" w:pos="616"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 customers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08" w:lineRule="exact"/>
        <w:rPr>
          <w:rFonts w:ascii="Arial" w:cs="Arial" w:eastAsia="Arial" w:hAnsi="Arial"/>
          <w:sz w:val="15"/>
          <w:szCs w:val="15"/>
          <w:color w:val="auto"/>
        </w:rPr>
      </w:pPr>
    </w:p>
    <w:p>
      <w:pPr>
        <w:ind w:left="620" w:right="20" w:hanging="307"/>
        <w:spacing w:after="0" w:line="258"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criminal healthcare statutes that were added by HIPAA, and its implementing regulations,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31" w:lineRule="exact"/>
        <w:rPr>
          <w:rFonts w:ascii="Arial" w:cs="Arial" w:eastAsia="Arial" w:hAnsi="Arial"/>
          <w:sz w:val="17"/>
          <w:szCs w:val="17"/>
          <w:color w:val="auto"/>
        </w:rPr>
      </w:pPr>
    </w:p>
    <w:p>
      <w:pPr>
        <w:ind w:left="620" w:right="160" w:hanging="307"/>
        <w:spacing w:after="0" w:line="277" w:lineRule="auto"/>
        <w:tabs>
          <w:tab w:leader="none" w:pos="61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Physician Payments Sunshine Act, or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and</w:t>
      </w:r>
    </w:p>
    <w:p>
      <w:pPr>
        <w:spacing w:after="0" w:line="118" w:lineRule="exact"/>
        <w:rPr>
          <w:rFonts w:ascii="Arial" w:cs="Arial" w:eastAsia="Arial" w:hAnsi="Arial"/>
          <w:sz w:val="16"/>
          <w:szCs w:val="16"/>
          <w:color w:val="auto"/>
        </w:rPr>
      </w:pPr>
    </w:p>
    <w:p>
      <w:pPr>
        <w:ind w:left="620" w:right="60" w:hanging="307"/>
        <w:spacing w:after="0" w:line="257"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33" w:lineRule="exact"/>
        <w:rPr>
          <w:sz w:val="20"/>
          <w:szCs w:val="20"/>
          <w:color w:val="auto"/>
        </w:rPr>
      </w:pPr>
    </w:p>
    <w:p>
      <w:pPr>
        <w:ind w:right="40" w:firstLine="309"/>
        <w:spacing w:after="0" w:line="299" w:lineRule="auto"/>
        <w:rPr>
          <w:sz w:val="20"/>
          <w:szCs w:val="20"/>
          <w:color w:val="auto"/>
        </w:rPr>
      </w:pPr>
      <w:r>
        <w:rPr>
          <w:rFonts w:ascii="Arial" w:cs="Arial" w:eastAsia="Arial" w:hAnsi="Arial"/>
          <w:sz w:val="15"/>
          <w:szCs w:val="15"/>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activities, such as stock-option compensation paid to physicians or our practice of loaning equipment to customers at no additional cost, could be subject to challenge under one or more of such laws. Any</w:t>
      </w: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0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Our AquaBeam Robotic System and our operations are subject to extensive government regulation and oversight in the United States. If we fail to maintain necessary marketing authorizations for our AquaBeam Robotic System, or if approvals or clearances for future products or modifications to existing products are delayed or not issued, it will negatively affect our business, financial condition and results of operations.</w:t>
      </w:r>
    </w:p>
    <w:p>
      <w:pPr>
        <w:spacing w:after="0" w:line="107" w:lineRule="exact"/>
        <w:rPr>
          <w:sz w:val="20"/>
          <w:szCs w:val="20"/>
          <w:color w:val="auto"/>
        </w:rPr>
      </w:pPr>
    </w:p>
    <w:p>
      <w:pPr>
        <w:ind w:right="100" w:firstLine="309"/>
        <w:spacing w:after="0" w:line="279" w:lineRule="auto"/>
        <w:rPr>
          <w:sz w:val="20"/>
          <w:szCs w:val="20"/>
          <w:color w:val="auto"/>
        </w:rPr>
      </w:pPr>
      <w:r>
        <w:rPr>
          <w:rFonts w:ascii="Arial" w:cs="Arial" w:eastAsia="Arial" w:hAnsi="Arial"/>
          <w:sz w:val="17"/>
          <w:szCs w:val="17"/>
          <w:color w:val="auto"/>
        </w:rPr>
        <w:t>Our AquaBeam Robotic System is a medical device subject to extensive regulation in the United States and elsewhere, including by the FDA and its foreign counterparts. Government regulations specific to medical devices are wide ranging and govern, among other things:</w:t>
      </w:r>
    </w:p>
    <w:p>
      <w:pPr>
        <w:spacing w:after="0" w:line="113" w:lineRule="exact"/>
        <w:rPr>
          <w:sz w:val="20"/>
          <w:szCs w:val="20"/>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product design, development, manufacture, and release;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laboratory and clinical testing, labeling, packaging, storage and distribution;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product safety and efficacy;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premarketing clearance or approval;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service operations, including relationships with healthcare providers;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record keeping;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product marketing, promotion and advertising, registration, sales and distribution;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post-marketing surveillance, including reporting of deaths or serious injuries and recalls and correction and removals;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post-market approval studies;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product import and export.</w:t>
      </w:r>
    </w:p>
    <w:p>
      <w:pPr>
        <w:spacing w:after="0" w:line="165" w:lineRule="exact"/>
        <w:rPr>
          <w:sz w:val="20"/>
          <w:szCs w:val="20"/>
          <w:color w:val="auto"/>
        </w:rPr>
      </w:pPr>
    </w:p>
    <w:p>
      <w:pPr>
        <w:ind w:right="80" w:firstLine="309"/>
        <w:spacing w:after="0" w:line="279"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17" w:lineRule="exact"/>
        <w:rPr>
          <w:sz w:val="20"/>
          <w:szCs w:val="20"/>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adverse publicity, warning letters, untitled letters, it has come to our attention letters, fines, injunctions, consent decrees and civil penalties;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repair, replacement, refunds, recall or seizure of our AquaBeam Robotic System;</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operating restrictions, partial suspension or total shutdown of production;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denial of our requests for regulatory clearance or approval of new products, new intended uses or modifications to existing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withdrawal or suspension of regulatory clearance or approval that have already been granted; 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any of these events were to occur, it will negatively affect our business, financial condition and results of operations.</w:t>
      </w:r>
    </w:p>
    <w:p>
      <w:pPr>
        <w:spacing w:after="0" w:line="200" w:lineRule="exact"/>
        <w:rPr>
          <w:sz w:val="20"/>
          <w:szCs w:val="20"/>
          <w:color w:val="auto"/>
        </w:rPr>
      </w:pPr>
    </w:p>
    <w:p>
      <w:pPr>
        <w:spacing w:after="0" w:line="37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82" w:right="41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We may not receive, or may be delayed in receiving, the necessary clearances or approvals for our future products or modifications to our current products, and failure to timely obtain necessary clearances or approvals for our future products or modifications to our current products would adversely affect our ability to grow our business.</w:t>
      </w:r>
    </w:p>
    <w:p>
      <w:pPr>
        <w:spacing w:after="0" w:line="124" w:lineRule="exact"/>
        <w:rPr>
          <w:sz w:val="20"/>
          <w:szCs w:val="20"/>
          <w:color w:val="auto"/>
        </w:rPr>
      </w:pPr>
    </w:p>
    <w:p>
      <w:pPr>
        <w:ind w:right="240" w:firstLine="309"/>
        <w:spacing w:after="0" w:line="349" w:lineRule="auto"/>
        <w:rPr>
          <w:sz w:val="20"/>
          <w:szCs w:val="20"/>
          <w:color w:val="auto"/>
        </w:rPr>
      </w:pPr>
      <w:r>
        <w:rPr>
          <w:rFonts w:ascii="Arial" w:cs="Arial" w:eastAsia="Arial" w:hAnsi="Arial"/>
          <w:sz w:val="15"/>
          <w:szCs w:val="15"/>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66" w:lineRule="exact"/>
        <w:rPr>
          <w:sz w:val="20"/>
          <w:szCs w:val="20"/>
          <w:color w:val="auto"/>
        </w:rPr>
      </w:pPr>
    </w:p>
    <w:p>
      <w:pPr>
        <w:ind w:right="120" w:firstLine="309"/>
        <w:spacing w:after="0" w:line="259" w:lineRule="auto"/>
        <w:rPr>
          <w:sz w:val="20"/>
          <w:szCs w:val="20"/>
          <w:color w:val="auto"/>
        </w:rPr>
      </w:pPr>
      <w:r>
        <w:rPr>
          <w:rFonts w:ascii="Arial" w:cs="Arial" w:eastAsia="Arial" w:hAnsi="Arial"/>
          <w:sz w:val="17"/>
          <w:szCs w:val="17"/>
          <w:color w:val="auto"/>
        </w:rPr>
        <w:t>Class I includes devices with the lowest risk to the patient and are those for which safety and effectiveness can be assured by adherence to the FDA’s General Controls for medical devices, which include compliance with the applicable portions of the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31"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premarket approval application, or PMA. Some pre-amendment devices are unclassified, but are subject to FDA’s premarket notification and clearance process in order to be commercially distributed. Our AquaBeam Robotic System is a Class II device subject to 510(k) clearance.</w:t>
      </w:r>
    </w:p>
    <w:p>
      <w:pPr>
        <w:spacing w:after="0" w:line="133" w:lineRule="exact"/>
        <w:rPr>
          <w:sz w:val="20"/>
          <w:szCs w:val="20"/>
          <w:color w:val="auto"/>
        </w:rPr>
      </w:pPr>
    </w:p>
    <w:p>
      <w:pPr>
        <w:ind w:right="40" w:firstLine="309"/>
        <w:spacing w:after="0" w:line="274" w:lineRule="auto"/>
        <w:rPr>
          <w:sz w:val="20"/>
          <w:szCs w:val="20"/>
          <w:color w:val="auto"/>
        </w:rPr>
      </w:pPr>
      <w:r>
        <w:rPr>
          <w:rFonts w:ascii="Arial" w:cs="Arial" w:eastAsia="Arial" w:hAnsi="Arial"/>
          <w:sz w:val="16"/>
          <w:szCs w:val="16"/>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 novo classification, or approval of a PMA from the FDA, unless an exemption applies. Most Class I devices and some Class II devices are exempt from these premarket review requirements.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PMA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w:t>
      </w:r>
    </w:p>
    <w:p>
      <w:pPr>
        <w:spacing w:after="0" w:line="121" w:lineRule="exact"/>
        <w:rPr>
          <w:sz w:val="20"/>
          <w:szCs w:val="20"/>
          <w:color w:val="auto"/>
        </w:rPr>
      </w:pPr>
    </w:p>
    <w:p>
      <w:pPr>
        <w:ind w:right="20" w:firstLine="309"/>
        <w:spacing w:after="0" w:line="279" w:lineRule="auto"/>
        <w:rPr>
          <w:sz w:val="20"/>
          <w:szCs w:val="20"/>
          <w:color w:val="auto"/>
        </w:rPr>
      </w:pPr>
      <w:r>
        <w:rPr>
          <w:rFonts w:ascii="Arial" w:cs="Arial" w:eastAsia="Arial" w:hAnsi="Arial"/>
          <w:sz w:val="17"/>
          <w:szCs w:val="17"/>
          <w:color w:val="auto"/>
        </w:rPr>
        <w:t>In the process of obtaining PMA approval the FDA must determine that a proposed device is safe and effective for its intended use based, in part, on extensive data, including, but not limited to, technical, clinical trial, manufacturing and labeling data.</w:t>
      </w:r>
    </w:p>
    <w:p>
      <w:pPr>
        <w:spacing w:after="0" w:line="113" w:lineRule="exact"/>
        <w:rPr>
          <w:sz w:val="20"/>
          <w:szCs w:val="20"/>
          <w:color w:val="auto"/>
        </w:rPr>
      </w:pPr>
    </w:p>
    <w:p>
      <w:pPr>
        <w:ind w:right="140" w:firstLine="309"/>
        <w:spacing w:after="0" w:line="262" w:lineRule="auto"/>
        <w:rPr>
          <w:sz w:val="20"/>
          <w:szCs w:val="20"/>
          <w:color w:val="auto"/>
        </w:rPr>
      </w:pPr>
      <w:r>
        <w:rPr>
          <w:rFonts w:ascii="Arial" w:cs="Arial" w:eastAsia="Arial" w:hAnsi="Arial"/>
          <w:sz w:val="17"/>
          <w:szCs w:val="17"/>
          <w:color w:val="auto"/>
        </w:rPr>
        <w:t>In the de novo classification process, a manufacturer whose novel device would otherwise be automatically classified as Class III and require the submission and approval of a PMA prior to marketing is able to request down-classification of the device to Class I or Class II on the basis that the device presents a low or moderate risk. If the FDA grants the de novo classification request, the applicant will receive authorization to market the device. This device type may be used subsequently as a predicate device for future 510(k) submissions.</w:t>
      </w:r>
    </w:p>
    <w:p>
      <w:pPr>
        <w:spacing w:after="0" w:line="126" w:lineRule="exact"/>
        <w:rPr>
          <w:sz w:val="20"/>
          <w:szCs w:val="20"/>
          <w:color w:val="auto"/>
        </w:rPr>
      </w:pPr>
    </w:p>
    <w:p>
      <w:pPr>
        <w:ind w:firstLine="309"/>
        <w:spacing w:after="0" w:line="277" w:lineRule="auto"/>
        <w:rPr>
          <w:sz w:val="20"/>
          <w:szCs w:val="20"/>
          <w:color w:val="auto"/>
        </w:rPr>
      </w:pPr>
      <w:r>
        <w:rPr>
          <w:rFonts w:ascii="Arial" w:cs="Arial" w:eastAsia="Arial" w:hAnsi="Arial"/>
          <w:sz w:val="16"/>
          <w:szCs w:val="16"/>
          <w:color w:val="auto"/>
        </w:rPr>
        <w:t>The 510(k), de novo or PMA processes can be expensive, lengthy and unpredictable. The FDA’s 510(k) clearance process usually takes from three to 12 months, but can last longer. The process of obtaining a PMA is much more costly and uncertain than the 510(k) clearance process and generally takes from one to three years, or even longer, from the time the application is filed with the FDA. In addition, a PMA or de novo request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18" w:lineRule="exact"/>
        <w:rPr>
          <w:sz w:val="20"/>
          <w:szCs w:val="20"/>
          <w:color w:val="auto"/>
        </w:rPr>
      </w:pPr>
    </w:p>
    <w:p>
      <w:pPr>
        <w:jc w:val="both"/>
        <w:ind w:right="640" w:firstLine="309"/>
        <w:spacing w:after="0" w:line="266" w:lineRule="auto"/>
        <w:rPr>
          <w:sz w:val="20"/>
          <w:szCs w:val="20"/>
          <w:color w:val="auto"/>
        </w:rPr>
      </w:pPr>
      <w:r>
        <w:rPr>
          <w:rFonts w:ascii="Arial" w:cs="Arial" w:eastAsia="Arial" w:hAnsi="Arial"/>
          <w:sz w:val="17"/>
          <w:szCs w:val="17"/>
          <w:color w:val="auto"/>
        </w:rPr>
        <w:t>We originally obtained de novo classification of our AquaBeam Robotic System for use in patients with BPH, and have subsequently obtained 510(k) clearances for modifications to the system. Any modification to these systems that has not been previously cleared may require us to submit a new 510(k) premarket notification and obtain clearance, or</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depending on the change, we may be required to submit a PMA and obtain FDA approval before implementing the change. Specifically,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510(k)-cleared products in the past and have determined based on our review of the applicable FDA regulations and guidance that in certain instances new 510(k) clearances or PMA approvals were not required. We may make modifications or add additional features in the future that we believe do not require a new 510(k) clearance or approval of a PMA.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and we may be subject to significant regulatory fines or penalties. If the FDA requires us to go through a lengthier, more rigorous examination for future products or modifications to existing products than we had expected, product introductions or modifications could be delayed or canceled, which could adversely affect our ability to grow our business.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FDA or other regulators can delay, limit, or deny clearance or approval of a device for many reasons, including:</w:t>
      </w:r>
    </w:p>
    <w:p>
      <w:pPr>
        <w:spacing w:after="0" w:line="165" w:lineRule="exact"/>
        <w:rPr>
          <w:sz w:val="20"/>
          <w:szCs w:val="20"/>
          <w:color w:val="auto"/>
        </w:rPr>
      </w:pPr>
    </w:p>
    <w:p>
      <w:pPr>
        <w:jc w:val="both"/>
        <w:ind w:left="620" w:right="20" w:hanging="307"/>
        <w:spacing w:after="0" w:line="266" w:lineRule="auto"/>
        <w:tabs>
          <w:tab w:leader="none" w:pos="6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inability to demonstrate to the satisfaction of the FDA or the applicable regulatory entity or notified body that our AquaBeam Robotic System, or any other future device, and any accessories are substantially equivalent to a legally marketed predicate device or safe or effective for their proposed intended uses;</w:t>
      </w:r>
    </w:p>
    <w:p>
      <w:pPr>
        <w:spacing w:after="0" w:line="123" w:lineRule="exact"/>
        <w:rPr>
          <w:rFonts w:ascii="Arial" w:cs="Arial" w:eastAsia="Arial" w:hAnsi="Arial"/>
          <w:sz w:val="17"/>
          <w:szCs w:val="17"/>
          <w:color w:val="auto"/>
        </w:rPr>
      </w:pPr>
    </w:p>
    <w:p>
      <w:pPr>
        <w:ind w:left="620" w:hanging="307"/>
        <w:spacing w:after="0"/>
        <w:tabs>
          <w:tab w:leader="none" w:pos="6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disagreement of the FDA with the design or implementation of any clinical trials or the interpretation of data from preclinical studies or clinical trials;</w:t>
      </w:r>
    </w:p>
    <w:p>
      <w:pPr>
        <w:spacing w:after="0" w:line="188" w:lineRule="exact"/>
        <w:rPr>
          <w:rFonts w:ascii="Arial" w:cs="Arial" w:eastAsia="Arial" w:hAnsi="Arial"/>
          <w:sz w:val="15"/>
          <w:szCs w:val="15"/>
          <w:color w:val="auto"/>
        </w:rPr>
      </w:pPr>
    </w:p>
    <w:p>
      <w:pPr>
        <w:ind w:left="620" w:hanging="30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serious and unexpected adverse device effects experienced by participants in our clinical trials;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insufficiency of the data from preclinical studies or clinical trials to support clearance or approval, where required;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our inability to demonstrate that the clinical and other benefits of the device outweigh the risks;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failure of our manufacturing process or facilities to meet applicable requirements; and</w:t>
      </w:r>
    </w:p>
    <w:p>
      <w:pPr>
        <w:spacing w:after="0" w:line="165" w:lineRule="exact"/>
        <w:rPr>
          <w:rFonts w:ascii="Arial" w:cs="Arial" w:eastAsia="Arial" w:hAnsi="Arial"/>
          <w:sz w:val="17"/>
          <w:szCs w:val="17"/>
          <w:color w:val="auto"/>
        </w:rPr>
      </w:pPr>
    </w:p>
    <w:p>
      <w:pPr>
        <w:ind w:left="620" w:right="300" w:hanging="307"/>
        <w:spacing w:after="0" w:line="279" w:lineRule="auto"/>
        <w:tabs>
          <w:tab w:leader="none" w:pos="61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13" w:lineRule="exact"/>
        <w:rPr>
          <w:sz w:val="20"/>
          <w:szCs w:val="20"/>
          <w:color w:val="auto"/>
        </w:rPr>
      </w:pPr>
    </w:p>
    <w:p>
      <w:pPr>
        <w:spacing w:after="0" w:line="318" w:lineRule="auto"/>
        <w:rPr>
          <w:sz w:val="20"/>
          <w:szCs w:val="20"/>
          <w:color w:val="auto"/>
        </w:rPr>
      </w:pPr>
      <w:r>
        <w:rPr>
          <w:rFonts w:ascii="Arial" w:cs="Arial" w:eastAsia="Arial" w:hAnsi="Arial"/>
          <w:sz w:val="15"/>
          <w:szCs w:val="15"/>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88" w:lineRule="exact"/>
        <w:rPr>
          <w:sz w:val="20"/>
          <w:szCs w:val="20"/>
          <w:color w:val="auto"/>
        </w:rPr>
      </w:pPr>
    </w:p>
    <w:p>
      <w:pPr>
        <w:ind w:right="20" w:firstLine="309"/>
        <w:spacing w:after="0" w:line="262" w:lineRule="auto"/>
        <w:rPr>
          <w:sz w:val="20"/>
          <w:szCs w:val="20"/>
          <w:color w:val="auto"/>
        </w:rPr>
      </w:pPr>
      <w:r>
        <w:rPr>
          <w:rFonts w:ascii="Arial" w:cs="Arial" w:eastAsia="Arial" w:hAnsi="Arial"/>
          <w:sz w:val="17"/>
          <w:szCs w:val="17"/>
          <w:color w:val="auto"/>
        </w:rPr>
        <w:t>It is important to our business that we build a pipeline of product offerings that address limitations of current BPH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success of any new product offering or enhancement to an existing product will depend on a number of factors, including our ability to, among others:</w:t>
      </w:r>
    </w:p>
    <w:p>
      <w:pPr>
        <w:spacing w:after="0" w:line="177" w:lineRule="exact"/>
        <w:rPr>
          <w:sz w:val="20"/>
          <w:szCs w:val="20"/>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identify and anticipate physician and patient needs properly;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develop and introduce new products or product enhancements in a timely manner;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avoid infringing upon the intellectual property rights of third parties;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demonstrate, if required, the safety and efficacy of new products with data from clinical studies;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obtain the necessary regulatory clearances or approvals for new products or product enhancements;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comply fully with the FDA and foreign regulations on marketing of new products or modified products; and</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provide adequate training to potential users of our AquaBeam Robotic System.</w:t>
      </w:r>
    </w:p>
    <w:p>
      <w:pPr>
        <w:spacing w:after="0" w:line="165" w:lineRule="exact"/>
        <w:rPr>
          <w:sz w:val="20"/>
          <w:szCs w:val="20"/>
          <w:color w:val="auto"/>
        </w:rPr>
      </w:pPr>
    </w:p>
    <w:p>
      <w:pPr>
        <w:ind w:right="840" w:firstLine="309"/>
        <w:spacing w:after="0" w:line="349" w:lineRule="auto"/>
        <w:rPr>
          <w:sz w:val="20"/>
          <w:szCs w:val="20"/>
          <w:color w:val="auto"/>
        </w:rPr>
      </w:pPr>
      <w:r>
        <w:rPr>
          <w:rFonts w:ascii="Arial" w:cs="Arial" w:eastAsia="Arial" w:hAnsi="Arial"/>
          <w:sz w:val="15"/>
          <w:szCs w:val="15"/>
          <w:color w:val="auto"/>
        </w:rPr>
        <w:t>If we do not develop new products or product enhancements in time to meet market demand or if there is insufficient demand for these products or enhancements, or if our competitors introduce new products with functionalities that are superior to ours, our results of operations will suffer.</w:t>
      </w:r>
    </w:p>
    <w:p>
      <w:pPr>
        <w:spacing w:after="0" w:line="66" w:lineRule="exact"/>
        <w:rPr>
          <w:sz w:val="20"/>
          <w:szCs w:val="20"/>
          <w:color w:val="auto"/>
        </w:rPr>
      </w:pPr>
    </w:p>
    <w:p>
      <w:pPr>
        <w:jc w:val="both"/>
        <w:ind w:right="140" w:firstLine="309"/>
        <w:spacing w:after="0" w:line="259" w:lineRule="auto"/>
        <w:rPr>
          <w:sz w:val="20"/>
          <w:szCs w:val="20"/>
          <w:color w:val="auto"/>
        </w:rPr>
      </w:pPr>
      <w:r>
        <w:rPr>
          <w:rFonts w:ascii="Arial" w:cs="Arial" w:eastAsia="Arial" w:hAnsi="Arial"/>
          <w:sz w:val="17"/>
          <w:szCs w:val="17"/>
          <w:color w:val="auto"/>
        </w:rPr>
        <w:t>We believe some of our future products will require FDA clearance of a 510(k). Other future products may require the approval of a PMA. In addition, some of our future products may require clinical trials to support marketing authorization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3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Modifications to our marketed products may require new 510(k) clearances or PMA approvals, or may require us to cease marketing or recall the modified products until clearances or approvals are obtained.</w:t>
      </w:r>
    </w:p>
    <w:p>
      <w:pPr>
        <w:spacing w:after="0" w:line="113" w:lineRule="exact"/>
        <w:rPr>
          <w:sz w:val="20"/>
          <w:szCs w:val="20"/>
          <w:color w:val="auto"/>
        </w:rPr>
      </w:pPr>
    </w:p>
    <w:p>
      <w:pPr>
        <w:ind w:firstLine="309"/>
        <w:spacing w:after="0" w:line="294" w:lineRule="auto"/>
        <w:rPr>
          <w:sz w:val="20"/>
          <w:szCs w:val="20"/>
          <w:color w:val="auto"/>
        </w:rPr>
      </w:pPr>
      <w:r>
        <w:rPr>
          <w:rFonts w:ascii="Arial" w:cs="Arial" w:eastAsia="Arial" w:hAnsi="Arial"/>
          <w:sz w:val="15"/>
          <w:szCs w:val="15"/>
          <w:color w:val="auto"/>
        </w:rPr>
        <w:t>Modifications to our AquaBeam Robotic System and associated consumables may require new regulatory approvals or clearances, including 510(k) clearances or PMAs,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our AquaBeam Robotic System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AquaBeam Robotic System as modified, which could require us to redesign our AquaBeam Robotic System and/or seek new marketing authorizations and harm our operating results. In these circumstances, we may be subject to significant enforcement actions.</w:t>
      </w:r>
    </w:p>
    <w:p>
      <w:pPr>
        <w:spacing w:after="0" w:line="110" w:lineRule="exact"/>
        <w:rPr>
          <w:sz w:val="20"/>
          <w:szCs w:val="20"/>
          <w:color w:val="auto"/>
        </w:rPr>
      </w:pPr>
    </w:p>
    <w:p>
      <w:pPr>
        <w:ind w:right="20" w:firstLine="309"/>
        <w:spacing w:after="0" w:line="258" w:lineRule="auto"/>
        <w:rPr>
          <w:sz w:val="20"/>
          <w:szCs w:val="20"/>
          <w:color w:val="auto"/>
        </w:rPr>
      </w:pPr>
      <w:r>
        <w:rPr>
          <w:rFonts w:ascii="Arial" w:cs="Arial" w:eastAsia="Arial" w:hAnsi="Arial"/>
          <w:sz w:val="17"/>
          <w:szCs w:val="17"/>
          <w:color w:val="auto"/>
        </w:rPr>
        <w:t>If a manufacturer determines that a modification to an FDA-cleared device could significantly affect its safety or effectiveness, or would constitute a major change in its intended use, then the manufacturer must apply for a new 510(k) clearance or possibly a PMA approval. If we determine that modifications to our AquaBeam Robotic System require a new 510(k) clearance or PMA application,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w:t>
      </w:r>
    </w:p>
    <w:p>
      <w:pPr>
        <w:spacing w:after="0" w:line="132" w:lineRule="exact"/>
        <w:rPr>
          <w:sz w:val="20"/>
          <w:szCs w:val="20"/>
          <w:color w:val="auto"/>
        </w:rPr>
      </w:pPr>
    </w:p>
    <w:p>
      <w:pPr>
        <w:jc w:val="both"/>
        <w:ind w:right="60"/>
        <w:spacing w:after="0" w:line="266" w:lineRule="auto"/>
        <w:rPr>
          <w:sz w:val="20"/>
          <w:szCs w:val="20"/>
          <w:color w:val="auto"/>
        </w:rPr>
      </w:pPr>
      <w:r>
        <w:rPr>
          <w:rFonts w:ascii="Arial" w:cs="Arial" w:eastAsia="Arial" w:hAnsi="Arial"/>
          <w:sz w:val="17"/>
          <w:szCs w:val="17"/>
          <w:b w:val="1"/>
          <w:bCs w:val="1"/>
          <w:i w:val="1"/>
          <w:iCs w:val="1"/>
          <w:color w:val="auto"/>
        </w:rPr>
        <w:t>Even though we have obtained marketing authorization for our AquaBeam Robotic System, we are subject to ongoing regulatory review and scrutiny. Failure to comply with post-marketing regulatory requirements could subject us to enforcement actions, including substantial penalties, and might require us to recall or withdraw a product from the market.</w:t>
      </w:r>
    </w:p>
    <w:p>
      <w:pPr>
        <w:spacing w:after="0" w:line="124" w:lineRule="exact"/>
        <w:rPr>
          <w:sz w:val="20"/>
          <w:szCs w:val="20"/>
          <w:color w:val="auto"/>
        </w:rPr>
      </w:pPr>
    </w:p>
    <w:p>
      <w:pPr>
        <w:ind w:right="20" w:firstLine="309"/>
        <w:spacing w:after="0" w:line="295" w:lineRule="auto"/>
        <w:rPr>
          <w:sz w:val="20"/>
          <w:szCs w:val="20"/>
          <w:color w:val="auto"/>
        </w:rPr>
      </w:pPr>
      <w:r>
        <w:rPr>
          <w:rFonts w:ascii="Arial" w:cs="Arial" w:eastAsia="Arial" w:hAnsi="Arial"/>
          <w:sz w:val="15"/>
          <w:szCs w:val="15"/>
          <w:color w:val="auto"/>
        </w:rPr>
        <w:t>Even though we have obtained marketing authorization for our AquaBeam Robotic System, it and any other product for which we obtain clearance or approval, and the manufacturing processes, post-market surveillance, post-approval clinical data and promotional activities for such product, are or, in the case of future products,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09" w:lineRule="exact"/>
        <w:rPr>
          <w:sz w:val="20"/>
          <w:szCs w:val="20"/>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untitled letters, warning letters, fines, injunctions, consent decrees and civil penalties;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unanticipated expenditures to address or defend such actions;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customer notifications for repair, replacement, refunds;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recall, detention or seizure of our products;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operating restrictions or partial suspension or total shutdown of production;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refusing or delaying our requests for 510(k) clearance or PMA of new products or modified products;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operating restrictions;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withdrawal of 510(k) clearances on PMA approvals that have already been granted;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refusal to grant export approval for our products; 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criminal prosecution.</w:t>
      </w:r>
    </w:p>
    <w:p>
      <w:pPr>
        <w:spacing w:after="0" w:line="165" w:lineRule="exact"/>
        <w:rPr>
          <w:sz w:val="20"/>
          <w:szCs w:val="20"/>
          <w:color w:val="auto"/>
        </w:rPr>
      </w:pPr>
    </w:p>
    <w:p>
      <w:pPr>
        <w:ind w:right="180" w:firstLine="309"/>
        <w:spacing w:after="0" w:line="26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24"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3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26"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18" w:lineRule="exact"/>
        <w:rPr>
          <w:sz w:val="20"/>
          <w:szCs w:val="20"/>
          <w:color w:val="auto"/>
        </w:rPr>
      </w:pPr>
    </w:p>
    <w:p>
      <w:pPr>
        <w:ind w:right="40" w:firstLine="309"/>
        <w:spacing w:after="0" w:line="258" w:lineRule="auto"/>
        <w:rPr>
          <w:sz w:val="20"/>
          <w:szCs w:val="20"/>
          <w:color w:val="auto"/>
        </w:rPr>
      </w:pPr>
      <w:r>
        <w:rPr>
          <w:rFonts w:ascii="Arial" w:cs="Arial" w:eastAsia="Arial" w:hAnsi="Arial"/>
          <w:sz w:val="17"/>
          <w:szCs w:val="17"/>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132" w:lineRule="exact"/>
        <w:rPr>
          <w:sz w:val="20"/>
          <w:szCs w:val="20"/>
          <w:color w:val="auto"/>
        </w:rPr>
      </w:pPr>
    </w:p>
    <w:p>
      <w:pPr>
        <w:ind w:right="80" w:firstLine="309"/>
        <w:spacing w:after="0" w:line="283" w:lineRule="auto"/>
        <w:rPr>
          <w:sz w:val="20"/>
          <w:szCs w:val="20"/>
          <w:color w:val="auto"/>
        </w:rPr>
      </w:pPr>
      <w:r>
        <w:rPr>
          <w:rFonts w:ascii="Arial" w:cs="Arial" w:eastAsia="Arial" w:hAnsi="Arial"/>
          <w:sz w:val="16"/>
          <w:szCs w:val="16"/>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58" w:lineRule="auto"/>
        <w:rPr>
          <w:sz w:val="20"/>
          <w:szCs w:val="20"/>
          <w:color w:val="auto"/>
        </w:rPr>
      </w:pPr>
      <w:r>
        <w:rPr>
          <w:rFonts w:ascii="Arial" w:cs="Arial" w:eastAsia="Arial" w:hAnsi="Arial"/>
          <w:sz w:val="17"/>
          <w:szCs w:val="17"/>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3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13" w:lineRule="exact"/>
        <w:rPr>
          <w:sz w:val="20"/>
          <w:szCs w:val="20"/>
          <w:color w:val="auto"/>
        </w:rPr>
      </w:pPr>
    </w:p>
    <w:p>
      <w:pPr>
        <w:ind w:right="240" w:firstLine="309"/>
        <w:spacing w:after="0" w:line="277"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18" w:lineRule="exact"/>
        <w:rPr>
          <w:sz w:val="20"/>
          <w:szCs w:val="20"/>
          <w:color w:val="auto"/>
        </w:rPr>
      </w:pPr>
    </w:p>
    <w:p>
      <w:pPr>
        <w:ind w:right="60" w:firstLine="309"/>
        <w:spacing w:after="0" w:line="257" w:lineRule="auto"/>
        <w:rPr>
          <w:sz w:val="20"/>
          <w:szCs w:val="20"/>
          <w:color w:val="auto"/>
        </w:rPr>
      </w:pPr>
      <w:r>
        <w:rPr>
          <w:rFonts w:ascii="Arial" w:cs="Arial" w:eastAsia="Arial" w:hAnsi="Arial"/>
          <w:sz w:val="17"/>
          <w:szCs w:val="17"/>
          <w:color w:val="auto"/>
        </w:rPr>
        <w:t>We or our third-party manufacturers may not take the necessary steps to comply with applicable regulations, which could cause delays in the delivery of our products. For instance, in 2021 we initiated a voluntary recall for a limited number of lots of our handpiece due to certain issues related to our supply chain. We have remedied these issues as we developed our manufacturing processes to scale the production of our handpieces at a higher volume.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30" w:lineRule="exact"/>
        <w:rPr>
          <w:sz w:val="20"/>
          <w:szCs w:val="20"/>
          <w:color w:val="auto"/>
        </w:rPr>
      </w:pPr>
    </w:p>
    <w:p>
      <w:pPr>
        <w:ind w:right="120" w:firstLine="309"/>
        <w:spacing w:after="0" w:line="279" w:lineRule="auto"/>
        <w:rPr>
          <w:sz w:val="20"/>
          <w:szCs w:val="20"/>
          <w:color w:val="auto"/>
        </w:rPr>
      </w:pPr>
      <w:r>
        <w:rPr>
          <w:rFonts w:ascii="Arial" w:cs="Arial" w:eastAsia="Arial" w:hAnsi="Arial"/>
          <w:sz w:val="17"/>
          <w:szCs w:val="17"/>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1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Our products, such as our AquaBeam Robotic System, may in the future be subject to product recalls that could harm our reputation, business and financial results.</w:t>
      </w:r>
    </w:p>
    <w:p>
      <w:pPr>
        <w:spacing w:after="0" w:line="113"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corrections and removals be reported to the FDA within 10 working days after such correction or removal is initiated. Companies are required to maintain certain records of recalls, even if they are not reportable to the FDA. We may initiate voluntary recalls involving our AquaBeam Robotic System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regulatory or enforcement actions if we engage in improper marketing or promotion of our AquaBeam Robotic System.</w:t>
      </w:r>
    </w:p>
    <w:p>
      <w:pPr>
        <w:spacing w:after="0" w:line="177"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our AquaBeam Robotic System off-label in their professional medical judgment, as the FDA does not restrict or regulate a physician’s choice of treatment within the practice of medicine. 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which could have an adverse impact on our reputation and financial results.</w:t>
      </w:r>
    </w:p>
    <w:p>
      <w:pPr>
        <w:spacing w:after="0" w:line="200" w:lineRule="exact"/>
        <w:rPr>
          <w:sz w:val="20"/>
          <w:szCs w:val="20"/>
          <w:color w:val="auto"/>
        </w:rPr>
      </w:pPr>
    </w:p>
    <w:p>
      <w:pPr>
        <w:spacing w:after="0" w:line="34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94" w:lineRule="auto"/>
        <w:rPr>
          <w:sz w:val="20"/>
          <w:szCs w:val="20"/>
          <w:color w:val="auto"/>
        </w:rPr>
      </w:pPr>
      <w:r>
        <w:rPr>
          <w:rFonts w:ascii="Arial" w:cs="Arial" w:eastAsia="Arial" w:hAnsi="Arial"/>
          <w:sz w:val="15"/>
          <w:szCs w:val="15"/>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our AquaBeam Robotic System, the FDA or another regulatory agency could disagree and conclude that we have engaged in off-label promotion. It is also possible that other federal, state or foreign enforcement authorities might take action, including, but not limited to, through a whistleblower action under the federal civil False Claims Act, or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w:t>
      </w:r>
    </w:p>
    <w:p>
      <w:pPr>
        <w:spacing w:after="0" w:line="110" w:lineRule="exact"/>
        <w:rPr>
          <w:sz w:val="20"/>
          <w:szCs w:val="20"/>
          <w:color w:val="auto"/>
        </w:rPr>
      </w:pPr>
    </w:p>
    <w:p>
      <w:pPr>
        <w:ind w:right="60" w:firstLine="309"/>
        <w:spacing w:after="0" w:line="262" w:lineRule="auto"/>
        <w:rPr>
          <w:sz w:val="20"/>
          <w:szCs w:val="20"/>
          <w:color w:val="auto"/>
        </w:rPr>
      </w:pPr>
      <w:r>
        <w:rPr>
          <w:rFonts w:ascii="Arial" w:cs="Arial" w:eastAsia="Arial" w:hAnsi="Arial"/>
          <w:sz w:val="17"/>
          <w:szCs w:val="17"/>
          <w:color w:val="auto"/>
        </w:rPr>
        <w:t>In addition, physicians may misuse our products or use improper techniques if they are not adequately trained, potentially leading to injury and an increased risk of product liability. If our devices are misused or used with improper technique, we may become subject to costly litigation by our customers or their patients. Product liability claims are expensive to defend and could divert our management’s attention, result in substantial damage awards against us, and harm our reputation.</w:t>
      </w:r>
    </w:p>
    <w:p>
      <w:pPr>
        <w:spacing w:after="0" w:line="126" w:lineRule="exact"/>
        <w:rPr>
          <w:sz w:val="20"/>
          <w:szCs w:val="20"/>
          <w:color w:val="auto"/>
        </w:rPr>
      </w:pPr>
    </w:p>
    <w:p>
      <w:pPr>
        <w:ind w:right="260" w:firstLine="309"/>
        <w:spacing w:after="0" w:line="279" w:lineRule="auto"/>
        <w:rPr>
          <w:sz w:val="20"/>
          <w:szCs w:val="20"/>
          <w:color w:val="auto"/>
        </w:rPr>
      </w:pPr>
      <w:r>
        <w:rPr>
          <w:rFonts w:ascii="Arial" w:cs="Arial" w:eastAsia="Arial" w:hAnsi="Arial"/>
          <w:sz w:val="17"/>
          <w:szCs w:val="17"/>
          <w:color w:val="auto"/>
        </w:rPr>
        <w:t>Product liability claims are expensive to defend and could divert our management’s attention, result in substantial damage awards against us, and harm our reputation.</w:t>
      </w:r>
    </w:p>
    <w:p>
      <w:pPr>
        <w:spacing w:after="0" w:line="113" w:lineRule="exact"/>
        <w:rPr>
          <w:sz w:val="20"/>
          <w:szCs w:val="20"/>
          <w:color w:val="auto"/>
        </w:rPr>
      </w:pPr>
    </w:p>
    <w:p>
      <w:pPr>
        <w:ind w:right="620"/>
        <w:spacing w:after="0" w:line="279" w:lineRule="auto"/>
        <w:rPr>
          <w:sz w:val="20"/>
          <w:szCs w:val="20"/>
          <w:color w:val="auto"/>
        </w:rPr>
      </w:pPr>
      <w:r>
        <w:rPr>
          <w:rFonts w:ascii="Arial" w:cs="Arial" w:eastAsia="Arial" w:hAnsi="Arial"/>
          <w:sz w:val="17"/>
          <w:szCs w:val="17"/>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113" w:lineRule="exact"/>
        <w:rPr>
          <w:sz w:val="20"/>
          <w:szCs w:val="20"/>
          <w:color w:val="auto"/>
        </w:rPr>
      </w:pPr>
    </w:p>
    <w:p>
      <w:pPr>
        <w:ind w:firstLine="309"/>
        <w:spacing w:after="0" w:line="277"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18" w:lineRule="exact"/>
        <w:rPr>
          <w:sz w:val="20"/>
          <w:szCs w:val="20"/>
          <w:color w:val="auto"/>
        </w:rPr>
      </w:pPr>
    </w:p>
    <w:p>
      <w:pPr>
        <w:ind w:right="40" w:firstLine="309"/>
        <w:spacing w:after="0" w:line="276" w:lineRule="auto"/>
        <w:rPr>
          <w:sz w:val="20"/>
          <w:szCs w:val="20"/>
          <w:color w:val="auto"/>
        </w:rPr>
      </w:pPr>
      <w:r>
        <w:rPr>
          <w:rFonts w:ascii="Arial" w:cs="Arial" w:eastAsia="Arial" w:hAnsi="Arial"/>
          <w:sz w:val="16"/>
          <w:szCs w:val="16"/>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For example, on February 23, 2022, the FDA issued a proposed rule to amend the Quality System Regulation, or QSR, which establishes current good manufacturing practice requirements for medical device manufacturers, to align more closely with the International Organization for Standardization, or ISO, standards. This proposal has not yet been finalized or adopted. Accordingly, it is unclear the extent to which this or any other proposals, if adopted, could impose additional or different regulatory requirements on us that could increase the costs of compliance or otherwise create competition that may negatively affect our business.</w:t>
      </w:r>
    </w:p>
    <w:p>
      <w:pPr>
        <w:spacing w:after="0" w:line="118" w:lineRule="exact"/>
        <w:rPr>
          <w:sz w:val="20"/>
          <w:szCs w:val="20"/>
          <w:color w:val="auto"/>
        </w:rPr>
      </w:pPr>
    </w:p>
    <w:p>
      <w:pPr>
        <w:ind w:right="100" w:firstLine="309"/>
        <w:spacing w:after="0" w:line="275" w:lineRule="auto"/>
        <w:rPr>
          <w:sz w:val="20"/>
          <w:szCs w:val="20"/>
          <w:color w:val="auto"/>
        </w:rPr>
      </w:pPr>
      <w:r>
        <w:rPr>
          <w:rFonts w:ascii="Arial" w:cs="Arial" w:eastAsia="Arial" w:hAnsi="Arial"/>
          <w:sz w:val="16"/>
          <w:szCs w:val="16"/>
          <w:color w:val="auto"/>
        </w:rPr>
        <w:t>Additionally, in September 2019, the FDA issued revised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device types appropriate for the “safety and performance based” pathway and continues to develop product-specific guidance documents that identify the performance criteria for each such device type, as well as the recommended testing methods, where feasible. The FDA may establish performance criteria for classes of devices for which we or our competitors seek or currently have received clearance, and it is unclear the extent to which such performance standards, if established, could impact our ability to obtain new 510(k) clearances or otherwise create competition that may negatively affect our business.</w:t>
      </w:r>
    </w:p>
    <w:p>
      <w:pPr>
        <w:spacing w:after="0" w:line="118" w:lineRule="exact"/>
        <w:rPr>
          <w:sz w:val="20"/>
          <w:szCs w:val="20"/>
          <w:color w:val="auto"/>
        </w:rPr>
      </w:pPr>
    </w:p>
    <w:p>
      <w:pPr>
        <w:jc w:val="both"/>
        <w:ind w:right="180" w:firstLine="309"/>
        <w:spacing w:after="0" w:line="266" w:lineRule="auto"/>
        <w:rPr>
          <w:sz w:val="20"/>
          <w:szCs w:val="20"/>
          <w:color w:val="auto"/>
        </w:rPr>
      </w:pPr>
      <w:r>
        <w:rPr>
          <w:rFonts w:ascii="Arial" w:cs="Arial" w:eastAsia="Arial" w:hAnsi="Arial"/>
          <w:sz w:val="17"/>
          <w:szCs w:val="17"/>
          <w:color w:val="auto"/>
        </w:rPr>
        <w:t>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00" w:lineRule="exact"/>
        <w:rPr>
          <w:sz w:val="20"/>
          <w:szCs w:val="20"/>
          <w:color w:val="auto"/>
        </w:rPr>
      </w:pPr>
    </w:p>
    <w:p>
      <w:pPr>
        <w:spacing w:after="0" w:line="33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0" w:firstLine="309"/>
        <w:spacing w:after="0" w:line="279" w:lineRule="auto"/>
        <w:rPr>
          <w:sz w:val="20"/>
          <w:szCs w:val="20"/>
          <w:color w:val="auto"/>
        </w:rPr>
      </w:pPr>
      <w:r>
        <w:rPr>
          <w:rFonts w:ascii="Arial" w:cs="Arial" w:eastAsia="Arial" w:hAnsi="Arial"/>
          <w:sz w:val="17"/>
          <w:szCs w:val="17"/>
          <w:color w:val="auto"/>
        </w:rPr>
        <w:t>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13" w:lineRule="exact"/>
        <w:rPr>
          <w:sz w:val="20"/>
          <w:szCs w:val="20"/>
          <w:color w:val="auto"/>
        </w:rPr>
      </w:pPr>
    </w:p>
    <w:p>
      <w:pPr>
        <w:ind w:firstLine="309"/>
        <w:spacing w:after="0" w:line="290" w:lineRule="auto"/>
        <w:rPr>
          <w:sz w:val="20"/>
          <w:szCs w:val="20"/>
          <w:color w:val="auto"/>
        </w:rPr>
      </w:pPr>
      <w:r>
        <w:rPr>
          <w:rFonts w:ascii="Arial" w:cs="Arial" w:eastAsia="Arial" w:hAnsi="Arial"/>
          <w:sz w:val="16"/>
          <w:szCs w:val="16"/>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07"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Initiating and completing clinical trials necessary to support any future PMA applications or de novo requests, or to provide additional safety and efficacy data beyond those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22" w:lineRule="exact"/>
        <w:rPr>
          <w:sz w:val="20"/>
          <w:szCs w:val="20"/>
          <w:color w:val="auto"/>
        </w:rPr>
      </w:pPr>
    </w:p>
    <w:p>
      <w:pPr>
        <w:ind w:right="280" w:firstLine="309"/>
        <w:spacing w:after="0" w:line="266" w:lineRule="auto"/>
        <w:rPr>
          <w:sz w:val="20"/>
          <w:szCs w:val="20"/>
          <w:color w:val="auto"/>
        </w:rPr>
      </w:pPr>
      <w:r>
        <w:rPr>
          <w:rFonts w:ascii="Arial" w:cs="Arial" w:eastAsia="Arial" w:hAnsi="Arial"/>
          <w:sz w:val="17"/>
          <w:szCs w:val="17"/>
          <w:color w:val="auto"/>
        </w:rPr>
        <w:t>The initiation and completion of any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24" w:lineRule="exact"/>
        <w:rPr>
          <w:sz w:val="20"/>
          <w:szCs w:val="20"/>
          <w:color w:val="auto"/>
        </w:rPr>
      </w:pPr>
    </w:p>
    <w:p>
      <w:pPr>
        <w:ind w:left="620" w:right="240" w:hanging="307"/>
        <w:spacing w:after="0" w:line="312" w:lineRule="auto"/>
        <w:tabs>
          <w:tab w:leader="none" w:pos="616"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may be required to submit an investigational device exemption application, or IDE, to the FDA, which must become effective prior to commencing certain human clinical trials of medical devices, and the FDA may reject our IDE and notify us that we may not begin clinical trials;</w:t>
      </w:r>
    </w:p>
    <w:p>
      <w:pPr>
        <w:spacing w:after="0" w:line="88" w:lineRule="exact"/>
        <w:rPr>
          <w:rFonts w:ascii="Arial" w:cs="Arial" w:eastAsia="Arial" w:hAnsi="Arial"/>
          <w:sz w:val="16"/>
          <w:szCs w:val="16"/>
          <w:color w:val="auto"/>
        </w:rPr>
      </w:pPr>
    </w:p>
    <w:p>
      <w:pPr>
        <w:ind w:left="620" w:hanging="307"/>
        <w:spacing w:after="0"/>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regulators and other comparable foreign regulatory authorities may disagree as to the design or implementation of our clinical trials;</w:t>
      </w:r>
    </w:p>
    <w:p>
      <w:pPr>
        <w:spacing w:after="0" w:line="165" w:lineRule="exact"/>
        <w:rPr>
          <w:rFonts w:ascii="Arial" w:cs="Arial" w:eastAsia="Arial" w:hAnsi="Arial"/>
          <w:sz w:val="17"/>
          <w:szCs w:val="17"/>
          <w:color w:val="auto"/>
        </w:rPr>
      </w:pPr>
    </w:p>
    <w:p>
      <w:pPr>
        <w:ind w:left="620" w:right="8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regulators and/or an Institutional Review Board, or IRB, or other reviewing bodies may not authorize us or our investigators to commence a clinical trial, or to conduct or continue a clinical trial at a prospective or specific trial site;</w:t>
      </w:r>
    </w:p>
    <w:p>
      <w:pPr>
        <w:spacing w:after="0" w:line="112" w:lineRule="exact"/>
        <w:rPr>
          <w:rFonts w:ascii="Arial" w:cs="Arial" w:eastAsia="Arial" w:hAnsi="Arial"/>
          <w:sz w:val="17"/>
          <w:szCs w:val="17"/>
          <w:color w:val="auto"/>
        </w:rPr>
      </w:pPr>
    </w:p>
    <w:p>
      <w:pPr>
        <w:ind w:left="620" w:right="26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12"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clinical trials may produce negative or inconclusive results, and we may decide, or regulators may require us, to conduct additional clinical trials or abandon product development programs;</w:t>
      </w:r>
    </w:p>
    <w:p>
      <w:pPr>
        <w:spacing w:after="0" w:line="112" w:lineRule="exact"/>
        <w:rPr>
          <w:rFonts w:ascii="Arial" w:cs="Arial" w:eastAsia="Arial" w:hAnsi="Arial"/>
          <w:sz w:val="17"/>
          <w:szCs w:val="17"/>
          <w:color w:val="auto"/>
        </w:rPr>
      </w:pPr>
    </w:p>
    <w:p>
      <w:pPr>
        <w:ind w:left="620" w:right="200" w:hanging="307"/>
        <w:spacing w:after="0" w:line="266"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23" w:lineRule="exact"/>
        <w:rPr>
          <w:rFonts w:ascii="Arial" w:cs="Arial" w:eastAsia="Arial" w:hAnsi="Arial"/>
          <w:sz w:val="17"/>
          <w:szCs w:val="17"/>
          <w:color w:val="auto"/>
        </w:rPr>
      </w:pPr>
    </w:p>
    <w:p>
      <w:pPr>
        <w:ind w:left="620" w:right="62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12" w:lineRule="exact"/>
        <w:rPr>
          <w:rFonts w:ascii="Arial" w:cs="Arial" w:eastAsia="Arial" w:hAnsi="Arial"/>
          <w:sz w:val="17"/>
          <w:szCs w:val="17"/>
          <w:color w:val="auto"/>
        </w:rPr>
      </w:pPr>
    </w:p>
    <w:p>
      <w:pPr>
        <w:ind w:left="620" w:right="26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might have to suspend or terminate clinical trials for various reasons, including a finding that the subjects are being exposed to unacceptable health risks;</w:t>
      </w:r>
    </w:p>
    <w:p>
      <w:pPr>
        <w:spacing w:after="0" w:line="112" w:lineRule="exact"/>
        <w:rPr>
          <w:rFonts w:ascii="Arial" w:cs="Arial" w:eastAsia="Arial" w:hAnsi="Arial"/>
          <w:sz w:val="17"/>
          <w:szCs w:val="17"/>
          <w:color w:val="auto"/>
        </w:rPr>
      </w:pPr>
    </w:p>
    <w:p>
      <w:pPr>
        <w:ind w:left="620" w:right="200" w:hanging="307"/>
        <w:spacing w:after="0" w:line="279" w:lineRule="auto"/>
        <w:tabs>
          <w:tab w:leader="none" w:pos="616" w:val="left"/>
        </w:tabs>
        <w:numPr>
          <w:ilvl w:val="0"/>
          <w:numId w:val="54"/>
        </w:numPr>
        <w:rPr>
          <w:rFonts w:ascii="Arial" w:cs="Arial" w:eastAsia="Arial" w:hAnsi="Arial"/>
          <w:sz w:val="17"/>
          <w:szCs w:val="17"/>
          <w:color w:val="auto"/>
        </w:rPr>
      </w:pPr>
      <w:r>
        <w:rPr>
          <w:rFonts w:ascii="Arial" w:cs="Arial" w:eastAsia="Arial" w:hAnsi="Arial"/>
          <w:sz w:val="17"/>
          <w:szCs w:val="17"/>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500" w:hanging="307"/>
        <w:spacing w:after="0" w:line="279"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 of clinical trials may be greater than we anticipate;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clinical sites may not adhere to the clinical protocol or may drop out of a clinical trial;</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may be unable to recruit a sufficient number of clinical trial sites;</w:t>
      </w:r>
    </w:p>
    <w:p>
      <w:pPr>
        <w:spacing w:after="0" w:line="165" w:lineRule="exact"/>
        <w:rPr>
          <w:rFonts w:ascii="Arial" w:cs="Arial" w:eastAsia="Arial" w:hAnsi="Arial"/>
          <w:sz w:val="17"/>
          <w:szCs w:val="17"/>
          <w:color w:val="auto"/>
        </w:rPr>
      </w:pPr>
    </w:p>
    <w:p>
      <w:pPr>
        <w:jc w:val="both"/>
        <w:ind w:left="620" w:right="320" w:hanging="307"/>
        <w:spacing w:after="0" w:line="290" w:lineRule="auto"/>
        <w:tabs>
          <w:tab w:leader="none" w:pos="616"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06" w:lineRule="exact"/>
        <w:rPr>
          <w:rFonts w:ascii="Arial" w:cs="Arial" w:eastAsia="Arial" w:hAnsi="Arial"/>
          <w:sz w:val="16"/>
          <w:szCs w:val="16"/>
          <w:color w:val="auto"/>
        </w:rPr>
      </w:pPr>
    </w:p>
    <w:p>
      <w:pPr>
        <w:ind w:left="620" w:right="120" w:hanging="307"/>
        <w:spacing w:after="0" w:line="279" w:lineRule="auto"/>
        <w:tabs>
          <w:tab w:leader="none" w:pos="6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approval policies or regulations of the FDA or applicable foreign regulatory agencies may change in a manner rendering our clinical data insufficient for approval; and</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current or future products may have undesirable side effects or other unexpected characteristics.</w:t>
      </w:r>
    </w:p>
    <w:p>
      <w:pPr>
        <w:spacing w:after="0" w:line="165" w:lineRule="exact"/>
        <w:rPr>
          <w:sz w:val="20"/>
          <w:szCs w:val="20"/>
          <w:color w:val="auto"/>
        </w:rPr>
      </w:pPr>
    </w:p>
    <w:p>
      <w:pPr>
        <w:ind w:firstLine="309"/>
        <w:spacing w:after="0" w:line="312" w:lineRule="auto"/>
        <w:rPr>
          <w:sz w:val="20"/>
          <w:szCs w:val="20"/>
          <w:color w:val="auto"/>
        </w:rPr>
      </w:pPr>
      <w:r>
        <w:rPr>
          <w:rFonts w:ascii="Arial" w:cs="Arial" w:eastAsia="Arial" w:hAnsi="Arial"/>
          <w:sz w:val="16"/>
          <w:szCs w:val="16"/>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89"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color w:val="auto"/>
        </w:rPr>
        <w:t>Clinical trials must be conducted in accordance with the laws and regulations of the FDA and other applicable regulatory authorities’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21" w:lineRule="exact"/>
        <w:rPr>
          <w:sz w:val="20"/>
          <w:szCs w:val="20"/>
          <w:color w:val="auto"/>
        </w:rPr>
      </w:pPr>
    </w:p>
    <w:p>
      <w:pPr>
        <w:ind w:firstLine="309"/>
        <w:spacing w:after="0" w:line="277" w:lineRule="auto"/>
        <w:rPr>
          <w:sz w:val="20"/>
          <w:szCs w:val="20"/>
          <w:color w:val="auto"/>
        </w:rPr>
      </w:pPr>
      <w:r>
        <w:rPr>
          <w:rFonts w:ascii="Arial" w:cs="Arial" w:eastAsia="Arial" w:hAnsi="Arial"/>
          <w:sz w:val="16"/>
          <w:szCs w:val="16"/>
          <w:color w:val="auto"/>
        </w:rPr>
        <w:t>We depend on our collaborators and on medical institutions and CROs to conduct our clinical trials in compliance with good clinical practice, or GCP, requirements. To the extent our collaborators or the CROs fail to enroll participants for our clinical trials, fail to conduct the study in accordance with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18" w:lineRule="exact"/>
        <w:rPr>
          <w:sz w:val="20"/>
          <w:szCs w:val="20"/>
          <w:color w:val="auto"/>
        </w:rPr>
      </w:pPr>
    </w:p>
    <w:p>
      <w:pPr>
        <w:ind w:right="120" w:firstLine="309"/>
        <w:spacing w:after="0" w:line="299" w:lineRule="auto"/>
        <w:rPr>
          <w:sz w:val="20"/>
          <w:szCs w:val="20"/>
          <w:color w:val="auto"/>
        </w:rPr>
      </w:pPr>
      <w:r>
        <w:rPr>
          <w:rFonts w:ascii="Arial" w:cs="Arial" w:eastAsia="Arial" w:hAnsi="Arial"/>
          <w:sz w:val="15"/>
          <w:szCs w:val="15"/>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13"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We may not have the ability to independently conduct our pre-clinical and clinical trials for our future products and we may need to rely on third parties, such as CROs, medical institutions, collaborators, clinical investigators and contract laboratories to conduct such trials. Nevertheless, we are responsible for ensuring that each of our studies is conducted in</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products in clinical development. Regulatory authorities enforce these GCP requirements through periodic inspections of trial sponsors, principal investigators and trial sites.</w:t>
      </w:r>
    </w:p>
    <w:p>
      <w:pPr>
        <w:spacing w:after="0" w:line="126"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If we or any of these third parties fail to comply with applicable GCP regulations, the clinical data generated in our clinical trials may be deemed unreliable and the FDA or comparable foreign regulatory authorities may require us to perform additional clinical trials before clearing or approving our marketing applications. We cannot assure you that, upon inspection, such regulatory authorities will determine that any of our future clinical trials complies with the GCP regulations.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33"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31"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26"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31" w:lineRule="exact"/>
        <w:rPr>
          <w:sz w:val="20"/>
          <w:szCs w:val="20"/>
          <w:color w:val="auto"/>
        </w:rPr>
      </w:pPr>
    </w:p>
    <w:p>
      <w:pPr>
        <w:ind w:right="180" w:firstLine="309"/>
        <w:spacing w:after="0" w:line="266" w:lineRule="auto"/>
        <w:rPr>
          <w:sz w:val="20"/>
          <w:szCs w:val="20"/>
          <w:color w:val="auto"/>
        </w:rPr>
      </w:pPr>
      <w:r>
        <w:rPr>
          <w:rFonts w:ascii="Arial" w:cs="Arial" w:eastAsia="Arial" w:hAnsi="Arial"/>
          <w:sz w:val="17"/>
          <w:szCs w:val="17"/>
          <w:color w:val="auto"/>
        </w:rPr>
        <w:t>Disruptions at the FDA and other agencies may also slow the time necessary for new product applications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24" w:lineRule="exact"/>
        <w:rPr>
          <w:sz w:val="20"/>
          <w:szCs w:val="20"/>
          <w:color w:val="auto"/>
        </w:rPr>
      </w:pPr>
    </w:p>
    <w:p>
      <w:pPr>
        <w:ind w:right="120" w:firstLine="309"/>
        <w:spacing w:after="0" w:line="257" w:lineRule="auto"/>
        <w:rPr>
          <w:sz w:val="20"/>
          <w:szCs w:val="20"/>
          <w:color w:val="auto"/>
        </w:rPr>
      </w:pPr>
      <w:r>
        <w:rPr>
          <w:rFonts w:ascii="Arial" w:cs="Arial" w:eastAsia="Arial" w:hAnsi="Arial"/>
          <w:sz w:val="17"/>
          <w:szCs w:val="17"/>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United States may adopt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13" w:lineRule="exact"/>
        <w:rPr>
          <w:sz w:val="20"/>
          <w:szCs w:val="20"/>
          <w:color w:val="auto"/>
        </w:rPr>
      </w:pPr>
    </w:p>
    <w:p>
      <w:pPr>
        <w:ind w:right="160" w:firstLine="309"/>
        <w:spacing w:after="0" w:line="312" w:lineRule="auto"/>
        <w:rPr>
          <w:sz w:val="20"/>
          <w:szCs w:val="20"/>
          <w:color w:val="auto"/>
        </w:rPr>
      </w:pPr>
      <w:r>
        <w:rPr>
          <w:rFonts w:ascii="Arial" w:cs="Arial" w:eastAsia="Arial" w:hAnsi="Arial"/>
          <w:sz w:val="16"/>
          <w:szCs w:val="16"/>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FDA requirements, including those laws requiring the reporting of true, complete and accurate information to the FDA authorities;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laws that require the true, complete and accurate reporting of financial information or data.</w:t>
      </w:r>
    </w:p>
    <w:p>
      <w:pPr>
        <w:spacing w:after="0" w:line="165" w:lineRule="exact"/>
        <w:rPr>
          <w:sz w:val="20"/>
          <w:szCs w:val="20"/>
          <w:color w:val="auto"/>
        </w:rPr>
      </w:pPr>
    </w:p>
    <w:p>
      <w:pPr>
        <w:ind w:right="160" w:firstLine="309"/>
        <w:spacing w:after="0" w:line="299" w:lineRule="auto"/>
        <w:rPr>
          <w:sz w:val="20"/>
          <w:szCs w:val="20"/>
          <w:color w:val="auto"/>
        </w:rPr>
      </w:pPr>
      <w:r>
        <w:rPr>
          <w:rFonts w:ascii="Arial" w:cs="Arial" w:eastAsia="Arial" w:hAnsi="Arial"/>
          <w:sz w:val="15"/>
          <w:szCs w:val="15"/>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03" w:lineRule="exact"/>
        <w:rPr>
          <w:sz w:val="20"/>
          <w:szCs w:val="20"/>
          <w:color w:val="auto"/>
        </w:rPr>
      </w:pPr>
    </w:p>
    <w:p>
      <w:pPr>
        <w:ind w:firstLine="309"/>
        <w:spacing w:after="0" w:line="297" w:lineRule="auto"/>
        <w:rPr>
          <w:sz w:val="20"/>
          <w:szCs w:val="20"/>
          <w:color w:val="auto"/>
        </w:rPr>
      </w:pPr>
      <w:r>
        <w:rPr>
          <w:rFonts w:ascii="Arial" w:cs="Arial" w:eastAsia="Arial" w:hAnsi="Arial"/>
          <w:sz w:val="15"/>
          <w:szCs w:val="15"/>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comply with environmental and occupational safety laws.</w:t>
      </w:r>
    </w:p>
    <w:p>
      <w:pPr>
        <w:spacing w:after="0" w:line="165" w:lineRule="exact"/>
        <w:rPr>
          <w:sz w:val="20"/>
          <w:szCs w:val="20"/>
          <w:color w:val="auto"/>
        </w:rPr>
      </w:pPr>
    </w:p>
    <w:p>
      <w:pPr>
        <w:ind w:right="200" w:firstLine="309"/>
        <w:spacing w:after="0" w:line="262" w:lineRule="auto"/>
        <w:rPr>
          <w:sz w:val="20"/>
          <w:szCs w:val="20"/>
          <w:color w:val="auto"/>
        </w:rPr>
      </w:pPr>
      <w:r>
        <w:rPr>
          <w:rFonts w:ascii="Arial" w:cs="Arial" w:eastAsia="Arial" w:hAnsi="Arial"/>
          <w:sz w:val="17"/>
          <w:szCs w:val="17"/>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to obtain, maintain and protect our intellectual property and failure to do so may adversely impact our competitive position.</w:t>
      </w:r>
    </w:p>
    <w:p>
      <w:pPr>
        <w:spacing w:after="0" w:line="165" w:lineRule="exact"/>
        <w:rPr>
          <w:sz w:val="20"/>
          <w:szCs w:val="20"/>
          <w:color w:val="auto"/>
        </w:rPr>
      </w:pPr>
    </w:p>
    <w:p>
      <w:pPr>
        <w:ind w:right="180" w:firstLine="309"/>
        <w:spacing w:after="0" w:line="259" w:lineRule="auto"/>
        <w:rPr>
          <w:sz w:val="20"/>
          <w:szCs w:val="20"/>
          <w:color w:val="auto"/>
        </w:rPr>
      </w:pPr>
      <w:r>
        <w:rPr>
          <w:rFonts w:ascii="Arial" w:cs="Arial" w:eastAsia="Arial" w:hAnsi="Arial"/>
          <w:sz w:val="17"/>
          <w:szCs w:val="17"/>
          <w:color w:val="auto"/>
        </w:rPr>
        <w:t>Our commercial success and ability to compete will depend in part in our ability to obtain, maintain and enforce issued patents, trademark and other intellectual property rights and proprietary technology in the United States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spacing w:after="0" w:line="131" w:lineRule="exact"/>
        <w:rPr>
          <w:sz w:val="20"/>
          <w:szCs w:val="20"/>
          <w:color w:val="auto"/>
        </w:rPr>
      </w:pPr>
    </w:p>
    <w:p>
      <w:pPr>
        <w:ind w:right="240" w:firstLine="309"/>
        <w:spacing w:after="0" w:line="262" w:lineRule="auto"/>
        <w:rPr>
          <w:sz w:val="20"/>
          <w:szCs w:val="20"/>
          <w:color w:val="auto"/>
        </w:rPr>
      </w:pPr>
      <w:r>
        <w:rPr>
          <w:rFonts w:ascii="Arial" w:cs="Arial" w:eastAsia="Arial" w:hAnsi="Arial"/>
          <w:sz w:val="17"/>
          <w:szCs w:val="17"/>
          <w:color w:val="auto"/>
        </w:rPr>
        <w:t>We rely on a combination of contractual provisions, confidentiality procedures and patent, trade secret, copyright and trademark laws to protect our proprietary technology, products, services, brands, trade secrets, know-how and data and prevent others from duplicating our AquaBeam Robotic System or its disposable components, and our other current and future products, services and technology. However, these legal means afford only limited protection and may not:</w:t>
      </w:r>
    </w:p>
    <w:p>
      <w:pPr>
        <w:spacing w:after="0" w:line="126" w:lineRule="exact"/>
        <w:rPr>
          <w:sz w:val="20"/>
          <w:szCs w:val="20"/>
          <w:color w:val="auto"/>
        </w:rPr>
      </w:pPr>
    </w:p>
    <w:p>
      <w:pPr>
        <w:ind w:left="620" w:hanging="307"/>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prevent our competitors from duplicating our AquaBeam Robotic System or its disposable components, and our other current and future products;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prevent our competitors from gaining access to our proprietary information and technology; or</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permit us to gain or maintain a competitive advantage.</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spacing w:after="0" w:line="124" w:lineRule="exact"/>
        <w:rPr>
          <w:sz w:val="20"/>
          <w:szCs w:val="20"/>
          <w:color w:val="auto"/>
        </w:rPr>
      </w:pPr>
    </w:p>
    <w:p>
      <w:pPr>
        <w:ind w:right="180" w:firstLine="309"/>
        <w:spacing w:after="0" w:line="279" w:lineRule="auto"/>
        <w:rPr>
          <w:sz w:val="20"/>
          <w:szCs w:val="20"/>
          <w:color w:val="auto"/>
        </w:rPr>
      </w:pPr>
      <w:r>
        <w:rPr>
          <w:rFonts w:ascii="Arial" w:cs="Arial" w:eastAsia="Arial" w:hAnsi="Arial"/>
          <w:sz w:val="16"/>
          <w:szCs w:val="16"/>
          <w:color w:val="auto"/>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products and services, and may not provide an adequate remedy if our intellectual property rights are infringed, misappropriated or otherwise violated.</w:t>
      </w:r>
    </w:p>
    <w:p>
      <w:pPr>
        <w:spacing w:after="0" w:line="117" w:lineRule="exact"/>
        <w:rPr>
          <w:sz w:val="20"/>
          <w:szCs w:val="20"/>
          <w:color w:val="auto"/>
        </w:rPr>
      </w:pPr>
    </w:p>
    <w:p>
      <w:pPr>
        <w:ind w:right="20" w:firstLine="309"/>
        <w:spacing w:after="0" w:line="290" w:lineRule="auto"/>
        <w:rPr>
          <w:sz w:val="20"/>
          <w:szCs w:val="20"/>
          <w:color w:val="auto"/>
        </w:rPr>
      </w:pPr>
      <w:r>
        <w:rPr>
          <w:rFonts w:ascii="Arial" w:cs="Arial" w:eastAsia="Arial" w:hAnsi="Arial"/>
          <w:sz w:val="15"/>
          <w:szCs w:val="15"/>
          <w:color w:val="auto"/>
        </w:rPr>
        <w:t>We rely in part on our portfolio of issued patents and pending patent applications in the United States and other countries to protect our intellectual property and competitive position. However,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It is also possible that we will fail to identify patentable aspects of inventions made in the course of our development, manufacture and commercialization activities before it is too late to obtain patent protection on them. If we fail to timely file for a patent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offer to sell or sell patented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manufacturing and/or commercializing our own products or services, or otherwise practicing our own technology. Any of these outcomes could impair our ability to prevent competition from third parties, which may have an adverse impact on our business.</w:t>
      </w:r>
    </w:p>
    <w:p>
      <w:pPr>
        <w:spacing w:after="0" w:line="114" w:lineRule="exact"/>
        <w:rPr>
          <w:sz w:val="20"/>
          <w:szCs w:val="20"/>
          <w:color w:val="auto"/>
        </w:rPr>
      </w:pPr>
    </w:p>
    <w:p>
      <w:pPr>
        <w:ind w:firstLine="309"/>
        <w:spacing w:after="0" w:line="292" w:lineRule="auto"/>
        <w:rPr>
          <w:sz w:val="20"/>
          <w:szCs w:val="20"/>
          <w:color w:val="auto"/>
        </w:rPr>
      </w:pPr>
      <w:r>
        <w:rPr>
          <w:rFonts w:ascii="Arial" w:cs="Arial" w:eastAsia="Arial" w:hAnsi="Arial"/>
          <w:sz w:val="15"/>
          <w:szCs w:val="15"/>
          <w:color w:val="auto"/>
        </w:rPr>
        <w:t>The patent positions of medical device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The scope of a patent may also be reinterpreted after issuance. The rights that may be granted under our future issued patents may not provide us with the proprietary protection or competitive advantages we are seeking. We cannot offer any assurances that the breadth of our granted patents will be sufficient to stop a competitor from developing, manufacturing and commercializing a product or a service in a non-infringing manner that would be competitive with one or more of our products or services,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spacing w:after="0" w:line="112" w:lineRule="exact"/>
        <w:rPr>
          <w:sz w:val="20"/>
          <w:szCs w:val="20"/>
          <w:color w:val="auto"/>
        </w:rPr>
      </w:pPr>
    </w:p>
    <w:p>
      <w:pPr>
        <w:ind w:right="200" w:firstLine="309"/>
        <w:spacing w:after="0" w:line="279" w:lineRule="auto"/>
        <w:rPr>
          <w:sz w:val="20"/>
          <w:szCs w:val="20"/>
          <w:color w:val="auto"/>
        </w:rPr>
      </w:pPr>
      <w:r>
        <w:rPr>
          <w:rFonts w:ascii="Arial" w:cs="Arial" w:eastAsia="Arial" w:hAnsi="Arial"/>
          <w:sz w:val="17"/>
          <w:szCs w:val="17"/>
          <w:color w:val="auto"/>
        </w:rPr>
        <w:t>Patents have a limited lifespan. In the United States, the natural expiration of a utility patent is generally 20 years from the earliest effective non-provisional filing date. Further, if we encounter delays in any future regulatory approvals, the</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period of time during which we could market a product or a service under patent protection could be reduced, and, given the amount of time required for the development, testing and regulatory review of planned or future products or services, patents protecting such products or services might expire before or shortly after such products or services are commercialized. As a result, our patent rights may not provide us with sufficient rights to exclude others from manufacturing or commercializing products or services similar or identical to ours.</w:t>
      </w:r>
    </w:p>
    <w:p>
      <w:pPr>
        <w:spacing w:after="0" w:line="126" w:lineRule="exact"/>
        <w:rPr>
          <w:sz w:val="20"/>
          <w:szCs w:val="20"/>
          <w:color w:val="auto"/>
        </w:rPr>
      </w:pPr>
    </w:p>
    <w:p>
      <w:pPr>
        <w:ind w:right="140" w:firstLine="309"/>
        <w:spacing w:after="0" w:line="259" w:lineRule="auto"/>
        <w:rPr>
          <w:sz w:val="20"/>
          <w:szCs w:val="20"/>
          <w:color w:val="auto"/>
        </w:rPr>
      </w:pPr>
      <w:r>
        <w:rPr>
          <w:rFonts w:ascii="Arial" w:cs="Arial" w:eastAsia="Arial" w:hAnsi="Arial"/>
          <w:sz w:val="17"/>
          <w:szCs w:val="17"/>
          <w:color w:val="auto"/>
        </w:rPr>
        <w:t>If we are unable to obtain, maintain and enforce our issued patent, trademarks and other intellectual property rights related to our products, services or technology, or if the scope of the issued patents, trademarks or other intellectual property right protection is insufficient, our competitors could develop, manufacture and commercialize products, services or technology similar or superior to ours, and our competitive position may be adversely affected.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31" w:lineRule="exact"/>
        <w:rPr>
          <w:sz w:val="20"/>
          <w:szCs w:val="20"/>
          <w:color w:val="auto"/>
        </w:rPr>
      </w:pPr>
    </w:p>
    <w:p>
      <w:pPr>
        <w:jc w:val="both"/>
        <w:ind w:right="40" w:firstLine="309"/>
        <w:spacing w:after="0" w:line="283" w:lineRule="auto"/>
        <w:rPr>
          <w:sz w:val="20"/>
          <w:szCs w:val="20"/>
          <w:color w:val="auto"/>
        </w:rPr>
      </w:pPr>
      <w:r>
        <w:rPr>
          <w:rFonts w:ascii="Arial" w:cs="Arial" w:eastAsia="Arial" w:hAnsi="Arial"/>
          <w:sz w:val="16"/>
          <w:szCs w:val="16"/>
          <w:color w:val="auto"/>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spacing w:after="0" w:line="112" w:lineRule="exact"/>
        <w:rPr>
          <w:sz w:val="20"/>
          <w:szCs w:val="20"/>
          <w:color w:val="auto"/>
        </w:rPr>
      </w:pPr>
    </w:p>
    <w:p>
      <w:pPr>
        <w:ind w:right="20" w:firstLine="309"/>
        <w:spacing w:after="0" w:line="275" w:lineRule="auto"/>
        <w:rPr>
          <w:sz w:val="20"/>
          <w:szCs w:val="20"/>
          <w:color w:val="auto"/>
        </w:rPr>
      </w:pPr>
      <w:r>
        <w:rPr>
          <w:rFonts w:ascii="Arial" w:cs="Arial" w:eastAsia="Arial" w:hAnsi="Arial"/>
          <w:sz w:val="16"/>
          <w:szCs w:val="16"/>
          <w:color w:val="auto"/>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patent owner or successors in title to the patent to grant a “nonexclusive, partially exclusive, or exclusive license” to a “responsible applicant or applicants.” If the patent owner refuses to do so, the government may grant the license to itself. We cannot be sure that if we acquire intellectual property rights in the future it will be free from government rights or regulations pursuant to the Bayh-Dole Act. If, in the future, we own, co-own or license in technology that is critical to our business that is developed in whole or in part with federal funds subject to the Bayh-Dole Act, our ability to enforce or otherwise exploit patents covering such technology may be adversely affected. Any of the foregoing could have a material adverse effect on our business, financial condition and results of operations.</w:t>
      </w:r>
    </w:p>
    <w:p>
      <w:pPr>
        <w:spacing w:after="0" w:line="118" w:lineRule="exact"/>
        <w:rPr>
          <w:sz w:val="20"/>
          <w:szCs w:val="20"/>
          <w:color w:val="auto"/>
        </w:rPr>
      </w:pPr>
    </w:p>
    <w:p>
      <w:pPr>
        <w:jc w:val="both"/>
        <w:ind w:right="20" w:firstLine="309"/>
        <w:spacing w:after="0" w:line="290" w:lineRule="auto"/>
        <w:rPr>
          <w:sz w:val="20"/>
          <w:szCs w:val="20"/>
          <w:color w:val="auto"/>
        </w:rPr>
      </w:pPr>
      <w:r>
        <w:rPr>
          <w:rFonts w:ascii="Arial" w:cs="Arial" w:eastAsia="Arial" w:hAnsi="Arial"/>
          <w:sz w:val="16"/>
          <w:szCs w:val="16"/>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07" w:lineRule="exact"/>
        <w:rPr>
          <w:sz w:val="20"/>
          <w:szCs w:val="20"/>
          <w:color w:val="auto"/>
        </w:rPr>
      </w:pPr>
    </w:p>
    <w:p>
      <w:pPr>
        <w:ind w:right="360"/>
        <w:spacing w:after="0" w:line="391" w:lineRule="auto"/>
        <w:rPr>
          <w:sz w:val="20"/>
          <w:szCs w:val="20"/>
          <w:color w:val="auto"/>
        </w:rPr>
      </w:pPr>
      <w:r>
        <w:rPr>
          <w:rFonts w:ascii="Arial" w:cs="Arial" w:eastAsia="Arial" w:hAnsi="Arial"/>
          <w:sz w:val="14"/>
          <w:szCs w:val="14"/>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43"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The U.S. Patent and Trademark Office, or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services, we may not be able to stop a competitor from marketing products or services that are the same as or similar to our products or services, which would have a material adverse effect on our business, financial condition and results of operations.</w:t>
      </w:r>
    </w:p>
    <w:p>
      <w:pPr>
        <w:spacing w:after="0" w:line="125" w:lineRule="exact"/>
        <w:rPr>
          <w:sz w:val="20"/>
          <w:szCs w:val="20"/>
          <w:color w:val="auto"/>
        </w:rPr>
      </w:pPr>
    </w:p>
    <w:p>
      <w:pPr>
        <w:ind w:right="180"/>
        <w:spacing w:after="0" w:line="391" w:lineRule="auto"/>
        <w:rPr>
          <w:sz w:val="20"/>
          <w:szCs w:val="20"/>
          <w:color w:val="auto"/>
        </w:rPr>
      </w:pPr>
      <w:r>
        <w:rPr>
          <w:rFonts w:ascii="Arial" w:cs="Arial" w:eastAsia="Arial" w:hAnsi="Arial"/>
          <w:sz w:val="14"/>
          <w:szCs w:val="14"/>
          <w:b w:val="1"/>
          <w:bCs w:val="1"/>
          <w:i w:val="1"/>
          <w:iCs w:val="1"/>
          <w:color w:val="auto"/>
        </w:rPr>
        <w:t>We may become involved in lawsuits to protect or enforce our patents and other intellectual property rights, which could be expensive, time-consuming and unsuccessful, and if unsuccessful, the commercial value of our products and services will be adversely affected and our competitive position may be harmed.</w:t>
      </w:r>
    </w:p>
    <w:p>
      <w:pPr>
        <w:spacing w:after="0" w:line="43" w:lineRule="exact"/>
        <w:rPr>
          <w:sz w:val="20"/>
          <w:szCs w:val="20"/>
          <w:color w:val="auto"/>
        </w:rPr>
      </w:pPr>
    </w:p>
    <w:p>
      <w:pPr>
        <w:ind w:right="220" w:firstLine="309"/>
        <w:spacing w:after="0" w:line="266" w:lineRule="auto"/>
        <w:rPr>
          <w:sz w:val="20"/>
          <w:szCs w:val="20"/>
          <w:color w:val="auto"/>
        </w:rPr>
      </w:pPr>
      <w:r>
        <w:rPr>
          <w:rFonts w:ascii="Arial" w:cs="Arial" w:eastAsia="Arial" w:hAnsi="Arial"/>
          <w:sz w:val="17"/>
          <w:szCs w:val="17"/>
          <w:color w:val="auto"/>
        </w:rPr>
        <w:t>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While we are not aware of any unauthorized use of our intellectual property rights, we do not regularly conduct monitoring for unauthorized use at this time. In the future, we may, from time to time, seek to analyze our competitors’ products and services, or seek to enforce our rights against potential infringement, misappropriation or violation of our intellectual property rights. The steps we have taken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Thus, we may not be able to detect unauthorized use of, or take appropriate steps to enforce, our intellectual property rights. Any inability to meaningfully enforce our intellectual property rights could harm our ability to compete and reduce demand for our products and services.</w:t>
      </w:r>
    </w:p>
    <w:p>
      <w:pPr>
        <w:spacing w:after="0" w:line="122"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In the future, we may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If we initiate legal proceedings against a third party to enforce a patent covering a product or a service,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Any claims we assert against perceived infringers could also provoke these parties to assert counterclaims against us alleging that we infringe, misappropriate or otherwise violate their intellectual property rights.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inter partes review, interference proceedings, derivation proceedings, and equivalent proceedings in foreign jurisdictions (e.g., opposition proceedings).</w:t>
      </w:r>
    </w:p>
    <w:p>
      <w:pPr>
        <w:spacing w:after="0" w:line="122" w:lineRule="exact"/>
        <w:rPr>
          <w:sz w:val="20"/>
          <w:szCs w:val="20"/>
          <w:color w:val="auto"/>
        </w:rPr>
      </w:pPr>
    </w:p>
    <w:p>
      <w:pPr>
        <w:ind w:right="240" w:firstLine="309"/>
        <w:spacing w:after="0" w:line="259" w:lineRule="auto"/>
        <w:rPr>
          <w:sz w:val="20"/>
          <w:szCs w:val="20"/>
          <w:color w:val="auto"/>
        </w:rPr>
      </w:pPr>
      <w:r>
        <w:rPr>
          <w:rFonts w:ascii="Arial" w:cs="Arial" w:eastAsia="Arial" w:hAnsi="Arial"/>
          <w:sz w:val="17"/>
          <w:szCs w:val="17"/>
          <w:color w:val="auto"/>
        </w:rPr>
        <w:t>Decisions by courts and governmental patent agencies may introduce uncertainty in the enforceability or scope of patents and other intellectual properties owned by us. A court may decide that a patent or other intellectual property right of ours is invalid or unenforceable, in whole or in part, construe the patent’s claims or other intellectual property narrowly or refuse to stop the other party from using the technology at issue on the grounds that our patents or other intellectual property do not cover the technology in question. An adverse result in any litigation proceeding could put one or more of our patents at risk of being invalidated or interpreted narrowly.</w:t>
      </w:r>
    </w:p>
    <w:p>
      <w:pPr>
        <w:spacing w:after="0" w:line="131" w:lineRule="exact"/>
        <w:rPr>
          <w:sz w:val="20"/>
          <w:szCs w:val="20"/>
          <w:color w:val="auto"/>
        </w:rPr>
      </w:pPr>
    </w:p>
    <w:p>
      <w:pPr>
        <w:ind w:right="20" w:firstLine="309"/>
        <w:spacing w:after="0" w:line="272" w:lineRule="auto"/>
        <w:rPr>
          <w:sz w:val="20"/>
          <w:szCs w:val="20"/>
          <w:color w:val="auto"/>
        </w:rPr>
      </w:pPr>
      <w:r>
        <w:rPr>
          <w:rFonts w:ascii="Arial" w:cs="Arial" w:eastAsia="Arial" w:hAnsi="Arial"/>
          <w:sz w:val="16"/>
          <w:szCs w:val="16"/>
          <w:color w:val="auto"/>
        </w:rPr>
        <w:t>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proceedings. 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40"/>
        <w:spacing w:after="0" w:line="279" w:lineRule="auto"/>
        <w:rPr>
          <w:sz w:val="20"/>
          <w:szCs w:val="20"/>
          <w:color w:val="auto"/>
        </w:rPr>
      </w:pPr>
      <w:r>
        <w:rPr>
          <w:rFonts w:ascii="Arial" w:cs="Arial" w:eastAsia="Arial" w:hAnsi="Arial"/>
          <w:sz w:val="17"/>
          <w:szCs w:val="17"/>
          <w:b w:val="1"/>
          <w:bCs w:val="1"/>
          <w:i w:val="1"/>
          <w:iCs w:val="1"/>
          <w:color w:val="auto"/>
        </w:rPr>
        <w:t>We may be unsuccessful in licensing or acquiring intellectual property rights from third parties that may be necessary to develop, manufacture and/or commercialize our current and/or future products or services.</w:t>
      </w:r>
    </w:p>
    <w:p>
      <w:pPr>
        <w:spacing w:after="0" w:line="113" w:lineRule="exact"/>
        <w:rPr>
          <w:sz w:val="20"/>
          <w:szCs w:val="20"/>
          <w:color w:val="auto"/>
        </w:rPr>
      </w:pPr>
    </w:p>
    <w:p>
      <w:pPr>
        <w:ind w:firstLine="309"/>
        <w:spacing w:after="0" w:line="256" w:lineRule="auto"/>
        <w:rPr>
          <w:sz w:val="20"/>
          <w:szCs w:val="20"/>
          <w:color w:val="auto"/>
        </w:rPr>
      </w:pPr>
      <w:r>
        <w:rPr>
          <w:rFonts w:ascii="Arial" w:cs="Arial" w:eastAsia="Arial" w:hAnsi="Arial"/>
          <w:sz w:val="17"/>
          <w:szCs w:val="17"/>
          <w:color w:val="auto"/>
        </w:rPr>
        <w:t>A third party may hold intellectual property rights, including patent rights, that are important or necessary to the development, manufacture and/or commercialization of our current and/or future products or services, in which case we would be need to acquire or obtain a license to such intellectual property rights from such third party. A third party that perceive us to be a competitor may be unwilling to assign or license its intellectual property rights to us. In addition, the licensing or acquisition of third party intellectual property rights is a competitive area, and other companies may also pursue similar strategies to license or acquire such third party’s intellectual property rights. Some of these companies may be established and may have a competitive advantage over us due to their size, capital resources and greater development, manufacture and commercialization capabilities. We also may be unable to license or acquire third party intellectual property rights on commercially reasonable terms that would allow us to make an appropriate return on our investment, or at all, or we may be unable to obtain any such license or acquisition at all. If we are unable to successfully obtain rights to necessary third party intellectual property rights, we may not be able to develop, manufacture or commercialize our current and/or future products or services, which could have a material adverse effect on our business, financial condition and results of operations.</w:t>
      </w:r>
    </w:p>
    <w:p>
      <w:pPr>
        <w:spacing w:after="0" w:line="132"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our AquaBeam Robotic System and our other current and future products.</w:t>
      </w:r>
    </w:p>
    <w:p>
      <w:pPr>
        <w:spacing w:after="0" w:line="88" w:lineRule="exact"/>
        <w:rPr>
          <w:sz w:val="20"/>
          <w:szCs w:val="20"/>
          <w:color w:val="auto"/>
        </w:rPr>
      </w:pPr>
    </w:p>
    <w:p>
      <w:pPr>
        <w:ind w:right="20" w:firstLine="309"/>
        <w:spacing w:after="0" w:line="272" w:lineRule="auto"/>
        <w:rPr>
          <w:sz w:val="20"/>
          <w:szCs w:val="20"/>
          <w:color w:val="auto"/>
        </w:rPr>
      </w:pPr>
      <w:r>
        <w:rPr>
          <w:rFonts w:ascii="Arial" w:cs="Arial" w:eastAsia="Arial" w:hAnsi="Arial"/>
          <w:sz w:val="16"/>
          <w:szCs w:val="16"/>
          <w:color w:val="auto"/>
        </w:rPr>
        <w:t>We may be subject to claims that current or former employees, collaborators or other third parties have an interest in our current or future patents, patent applications, trade secrets or other intellectual property rights as an inventor or co-inventor. For example, we may have inventorship disputes arise from conflicting obligations of employees, consultants or others who are involved in developing our AquaBeam Robotic System or our other current or future products, services or technology.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w:t>
      </w:r>
    </w:p>
    <w:p>
      <w:pPr>
        <w:spacing w:after="0" w:line="128" w:lineRule="exact"/>
        <w:rPr>
          <w:sz w:val="20"/>
          <w:szCs w:val="20"/>
          <w:color w:val="auto"/>
        </w:rPr>
      </w:pPr>
    </w:p>
    <w:p>
      <w:pPr>
        <w:ind w:firstLine="309"/>
        <w:spacing w:after="0" w:line="271" w:lineRule="auto"/>
        <w:rPr>
          <w:sz w:val="20"/>
          <w:szCs w:val="20"/>
          <w:color w:val="auto"/>
        </w:rPr>
      </w:pPr>
      <w:r>
        <w:rPr>
          <w:rFonts w:ascii="Arial" w:cs="Arial" w:eastAsia="Arial" w:hAnsi="Arial"/>
          <w:sz w:val="16"/>
          <w:szCs w:val="16"/>
          <w:color w:val="auto"/>
        </w:rPr>
        <w:t>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we fail in defending any such claims, in addition to paying monetary damages, we may lose valuable intellectual property rights, such as exclusive ownership of, or right to use, intellectual property that is important to our AquaBeam Robotic System and our other current and future products, services or technology.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our AquaBeam Robotic System, or our other current or future products, services and technologies, and we could be prohibited from using our other technologies, features or intellectual property rights that are essential to our products or services, if such technologies or features are found to incorporate or be derived from the trade secrets or other proprietary information of another person or entity, including another or former employers.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manufacturing and/or selling our products or services.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may be harmed.</w:t>
      </w:r>
    </w:p>
    <w:p>
      <w:pPr>
        <w:spacing w:after="0" w:line="165" w:lineRule="exact"/>
        <w:rPr>
          <w:sz w:val="20"/>
          <w:szCs w:val="20"/>
          <w:color w:val="auto"/>
        </w:rPr>
      </w:pPr>
    </w:p>
    <w:p>
      <w:pPr>
        <w:ind w:right="120" w:firstLine="309"/>
        <w:spacing w:after="0" w:line="299" w:lineRule="auto"/>
        <w:rPr>
          <w:sz w:val="20"/>
          <w:szCs w:val="20"/>
          <w:color w:val="auto"/>
        </w:rPr>
      </w:pPr>
      <w:r>
        <w:rPr>
          <w:rFonts w:ascii="Arial" w:cs="Arial" w:eastAsia="Arial" w:hAnsi="Arial"/>
          <w:sz w:val="15"/>
          <w:szCs w:val="15"/>
          <w:color w:val="auto"/>
        </w:rPr>
        <w:t>In addition to seeking patent protection for our AquaBeam Robotic System and our other current and future products and services,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03" w:lineRule="exact"/>
        <w:rPr>
          <w:sz w:val="20"/>
          <w:szCs w:val="20"/>
          <w:color w:val="auto"/>
        </w:rPr>
      </w:pPr>
    </w:p>
    <w:p>
      <w:pPr>
        <w:ind w:firstLine="309"/>
        <w:spacing w:after="0" w:line="271" w:lineRule="auto"/>
        <w:rPr>
          <w:sz w:val="20"/>
          <w:szCs w:val="20"/>
          <w:color w:val="auto"/>
        </w:rPr>
      </w:pPr>
      <w:r>
        <w:rPr>
          <w:rFonts w:ascii="Arial" w:cs="Arial" w:eastAsia="Arial" w:hAnsi="Arial"/>
          <w:sz w:val="16"/>
          <w:szCs w:val="16"/>
          <w:color w:val="auto"/>
        </w:rPr>
        <w:t>We cannot guarantee that we have entered into such agreements with each party that has or may have had access to our trade secrets or proprietary information and we may not enter into such agreements with all employees, consultants and third parties who have been involved in the development of our intellectual property rights. Although we generally require all of our employees, consultants, advisors and any third parties who have access to our proprietary know-how, information, or technology to enter into confidentiality agreements, we cannot provide any assurances that all such agreements have been duly executed. In addition, despite the protections we place on our intellectual property or other proprietary rights, monitoring unauthorized use and disclosure of our intellectual property rights by employees, consultants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or third parties, despite the existence generally of these confidentiality 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There can be no assurances that such employees, consultants, advisors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w:t>
      </w:r>
    </w:p>
    <w:p>
      <w:pPr>
        <w:spacing w:after="0" w:line="128"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the movement of personnel within the industry and from academic to industry scientific positions.</w:t>
      </w:r>
    </w:p>
    <w:p>
      <w:pPr>
        <w:spacing w:after="0" w:line="133" w:lineRule="exact"/>
        <w:rPr>
          <w:sz w:val="20"/>
          <w:szCs w:val="20"/>
          <w:color w:val="auto"/>
        </w:rPr>
      </w:pPr>
    </w:p>
    <w:p>
      <w:pPr>
        <w:ind w:right="460" w:firstLine="309"/>
        <w:spacing w:after="0" w:line="279"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could have a material adverse effect on our competitive position, business, financial condition, results of operations and prospects.</w:t>
      </w:r>
    </w:p>
    <w:p>
      <w:pPr>
        <w:spacing w:after="0" w:line="112"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24" w:lineRule="exact"/>
        <w:rPr>
          <w:sz w:val="20"/>
          <w:szCs w:val="20"/>
          <w:color w:val="auto"/>
        </w:rPr>
      </w:pPr>
    </w:p>
    <w:p>
      <w:pPr>
        <w:ind w:right="200" w:firstLine="309"/>
        <w:spacing w:after="0" w:line="258" w:lineRule="auto"/>
        <w:rPr>
          <w:sz w:val="20"/>
          <w:szCs w:val="20"/>
          <w:color w:val="auto"/>
        </w:rPr>
      </w:pPr>
      <w:r>
        <w:rPr>
          <w:rFonts w:ascii="Arial" w:cs="Arial" w:eastAsia="Arial" w:hAnsi="Arial"/>
          <w:sz w:val="17"/>
          <w:szCs w:val="17"/>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 otherwise, misappropriated the intellectual property or disclosed the alleged trade secrets or other proprietary information, of these former employers or competitors.</w:t>
      </w:r>
    </w:p>
    <w:p>
      <w:pPr>
        <w:spacing w:after="0" w:line="132"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AquaBeam Robotic System or our other current and future products or services, if such technologies or features are found to incorporate or be derived from the trade secrets or other proprietary information of the former employers.</w:t>
      </w:r>
    </w:p>
    <w:p>
      <w:pPr>
        <w:spacing w:after="0" w:line="133"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An inability to incorporate technologies or features that are important or essential to our product could have a material adverse effect on our business, financial condition and results of operations, and may prevent us from selling our AquaBeam Robotic System or our other current and future products or services.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32"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existing and future products or services, and could increase the uncertainties and costs surrounding the prosecution of our patent applications and the enforcement or defense of our current or future patents.</w:t>
      </w:r>
    </w:p>
    <w:p>
      <w:pPr>
        <w:spacing w:after="0" w:line="124" w:lineRule="exact"/>
        <w:rPr>
          <w:sz w:val="20"/>
          <w:szCs w:val="20"/>
          <w:color w:val="auto"/>
        </w:rPr>
      </w:pPr>
    </w:p>
    <w:p>
      <w:pPr>
        <w:ind w:right="220" w:firstLine="309"/>
        <w:spacing w:after="0" w:line="283" w:lineRule="auto"/>
        <w:rPr>
          <w:sz w:val="20"/>
          <w:szCs w:val="20"/>
          <w:color w:val="auto"/>
        </w:rPr>
      </w:pPr>
      <w:r>
        <w:rPr>
          <w:rFonts w:ascii="Arial" w:cs="Arial" w:eastAsia="Arial" w:hAnsi="Arial"/>
          <w:sz w:val="16"/>
          <w:szCs w:val="16"/>
          <w:color w:val="auto"/>
        </w:rPr>
        <w:t>Our ability to obtain patents and the breadth of any patents obtained is uncertain in part because, to date, some legal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and services.</w:t>
      </w:r>
    </w:p>
    <w:p>
      <w:pPr>
        <w:spacing w:after="0" w:line="112" w:lineRule="exact"/>
        <w:rPr>
          <w:sz w:val="20"/>
          <w:szCs w:val="20"/>
          <w:color w:val="auto"/>
        </w:rPr>
      </w:pPr>
    </w:p>
    <w:p>
      <w:pPr>
        <w:ind w:right="220" w:firstLine="309"/>
        <w:spacing w:after="0" w:line="266" w:lineRule="auto"/>
        <w:rPr>
          <w:sz w:val="20"/>
          <w:szCs w:val="20"/>
          <w:color w:val="auto"/>
        </w:rPr>
      </w:pPr>
      <w:r>
        <w:rPr>
          <w:rFonts w:ascii="Arial" w:cs="Arial" w:eastAsia="Arial" w:hAnsi="Arial"/>
          <w:sz w:val="17"/>
          <w:szCs w:val="17"/>
          <w:color w:val="auto"/>
        </w:rPr>
        <w:t>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w:t>
      </w:r>
    </w:p>
    <w:p>
      <w:pPr>
        <w:spacing w:after="0" w:line="124" w:lineRule="exact"/>
        <w:rPr>
          <w:sz w:val="20"/>
          <w:szCs w:val="20"/>
          <w:color w:val="auto"/>
        </w:rPr>
      </w:pPr>
    </w:p>
    <w:p>
      <w:pPr>
        <w:ind w:right="80" w:firstLine="309"/>
        <w:spacing w:after="0" w:line="259" w:lineRule="auto"/>
        <w:rPr>
          <w:sz w:val="20"/>
          <w:szCs w:val="20"/>
          <w:color w:val="auto"/>
        </w:rPr>
      </w:pPr>
      <w:r>
        <w:rPr>
          <w:rFonts w:ascii="Arial" w:cs="Arial" w:eastAsia="Arial" w:hAnsi="Arial"/>
          <w:sz w:val="17"/>
          <w:szCs w:val="17"/>
          <w:color w:val="auto"/>
        </w:rPr>
        <w:t>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license in the future. An inability to obtain, enforce, and defend patents covering our proprietary technologies would materially and adversely affect our business prospects and financial condition.</w:t>
      </w:r>
    </w:p>
    <w:p>
      <w:pPr>
        <w:spacing w:after="0" w:line="113" w:lineRule="exact"/>
        <w:rPr>
          <w:sz w:val="20"/>
          <w:szCs w:val="20"/>
          <w:color w:val="auto"/>
        </w:rPr>
      </w:pPr>
    </w:p>
    <w:p>
      <w:pPr>
        <w:ind w:firstLine="309"/>
        <w:spacing w:after="0" w:line="292" w:lineRule="auto"/>
        <w:rPr>
          <w:sz w:val="20"/>
          <w:szCs w:val="20"/>
          <w:color w:val="auto"/>
        </w:rPr>
      </w:pPr>
      <w:r>
        <w:rPr>
          <w:rFonts w:ascii="Arial" w:cs="Arial" w:eastAsia="Arial" w:hAnsi="Arial"/>
          <w:sz w:val="15"/>
          <w:szCs w:val="15"/>
          <w:color w:val="auto"/>
        </w:rPr>
        <w:t>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our ability to protect our intellectual property rights in those countries may be limited.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w:t>
      </w:r>
    </w:p>
    <w:p>
      <w:pPr>
        <w:spacing w:after="0" w:line="10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b w:val="1"/>
          <w:bCs w:val="1"/>
          <w:i w:val="1"/>
          <w:iCs w:val="1"/>
          <w:color w:val="auto"/>
        </w:rPr>
        <w:t>If our trademarks and tradenames are not adequately protected, then we may not be able to build name recognition in our markets and our business may be adversely affected.</w:t>
      </w:r>
    </w:p>
    <w:p>
      <w:pPr>
        <w:spacing w:after="0" w:line="113" w:lineRule="exact"/>
        <w:rPr>
          <w:sz w:val="20"/>
          <w:szCs w:val="20"/>
          <w:color w:val="auto"/>
        </w:rPr>
      </w:pPr>
    </w:p>
    <w:p>
      <w:pPr>
        <w:ind w:right="40" w:firstLine="309"/>
        <w:spacing w:after="0" w:line="274" w:lineRule="auto"/>
        <w:rPr>
          <w:sz w:val="20"/>
          <w:szCs w:val="20"/>
          <w:color w:val="auto"/>
        </w:rPr>
      </w:pPr>
      <w:r>
        <w:rPr>
          <w:rFonts w:ascii="Arial" w:cs="Arial" w:eastAsia="Arial" w:hAnsi="Arial"/>
          <w:sz w:val="16"/>
          <w:szCs w:val="16"/>
          <w:color w:val="auto"/>
        </w:rPr>
        <w:t>We rely on our trademarks, trade names and brand names to distinguish our products and services from the products and services of our competitors, and have registered or applied to register many of these trademarks in the United States and certain countries outside the United States. There can be no assurance that our trademark applications will be approved for registration. During trademark registration proceedings, we may receive rejections. Although we are given an opportunity to respond to those rejections, we may be unable to overcome such rejections.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w:t>
      </w:r>
    </w:p>
    <w:p>
      <w:pPr>
        <w:spacing w:after="0" w:line="121" w:lineRule="exact"/>
        <w:rPr>
          <w:sz w:val="20"/>
          <w:szCs w:val="20"/>
          <w:color w:val="auto"/>
        </w:rPr>
      </w:pPr>
    </w:p>
    <w:p>
      <w:pPr>
        <w:ind w:right="40" w:firstLine="309"/>
        <w:spacing w:after="0" w:line="273" w:lineRule="auto"/>
        <w:rPr>
          <w:sz w:val="20"/>
          <w:szCs w:val="20"/>
          <w:color w:val="auto"/>
        </w:rPr>
      </w:pPr>
      <w:r>
        <w:rPr>
          <w:rFonts w:ascii="Arial" w:cs="Arial" w:eastAsia="Arial" w:hAnsi="Arial"/>
          <w:sz w:val="16"/>
          <w:szCs w:val="16"/>
          <w:color w:val="auto"/>
        </w:rPr>
        <w:t>Our trademarks or trade names may be challenged, invalidated, infringed, circumvented and circumvented by third parties, and our trademarks could also be diluted, declared generic or determined to be violating or infringing on other marks. We may not be able to protect our rights to these trademarks and trade names, which we need to build name recognition among potential partners and customers in our markets of interest. If any of the foregoing occurs, we could be forced to re-brand our products or services, resulting in loss of brand recognition and requiring us to devote resources to advertising and marketing new brands, and suffer other competitive harm. Third parties may also adopt trademarks similar to ours, which could harm our brand identity and lead to market confusion. Further, there can be no assurance that competitors will not infringe our trademarks or that we will have adequate resources to enforce our trademarks. At times, competitors or other third parties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and our business may be adversely affected. Any of the foregoing could have a material adverse effect on our competitive position, business, financial condition, operating results and prospects.</w:t>
      </w:r>
    </w:p>
    <w:p>
      <w:pPr>
        <w:spacing w:after="0" w:line="12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b w:val="1"/>
          <w:bCs w:val="1"/>
          <w:i w:val="1"/>
          <w:iCs w:val="1"/>
          <w:color w:val="auto"/>
        </w:rPr>
        <w:t>We may become a party to intellectual property litigation or administrative proceedings that could be expensive, time-consuming, unsuccessful, and could interfere with our ability to sell and market our products or services.</w:t>
      </w:r>
    </w:p>
    <w:p>
      <w:pPr>
        <w:spacing w:after="0" w:line="113" w:lineRule="exact"/>
        <w:rPr>
          <w:sz w:val="20"/>
          <w:szCs w:val="20"/>
          <w:color w:val="auto"/>
        </w:rPr>
      </w:pPr>
    </w:p>
    <w:p>
      <w:pPr>
        <w:ind w:right="340" w:firstLine="309"/>
        <w:spacing w:after="0" w:line="283"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products and services and use our proprietary technologies without infringing, misappropriating or otherwise violating the proprietary rights and intellectual property of third parties. The medical device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misappropriate or otherwise violate the intellectual property rights of others, there may be other more pertinent rights of which we are presently unaware.</w:t>
      </w:r>
    </w:p>
    <w:p>
      <w:pPr>
        <w:spacing w:after="0" w:line="177" w:lineRule="exact"/>
        <w:rPr>
          <w:sz w:val="20"/>
          <w:szCs w:val="20"/>
          <w:color w:val="auto"/>
        </w:rPr>
      </w:pPr>
    </w:p>
    <w:p>
      <w:pPr>
        <w:ind w:firstLine="309"/>
        <w:spacing w:after="0" w:line="271" w:lineRule="auto"/>
        <w:rPr>
          <w:sz w:val="20"/>
          <w:szCs w:val="20"/>
          <w:color w:val="auto"/>
        </w:rPr>
      </w:pPr>
      <w:r>
        <w:rPr>
          <w:rFonts w:ascii="Arial" w:cs="Arial" w:eastAsia="Arial" w:hAnsi="Arial"/>
          <w:sz w:val="16"/>
          <w:szCs w:val="16"/>
          <w:color w:val="auto"/>
        </w:rPr>
        <w:t>Third parties may initiate legal proceedings alleging that we are infringing, misappropriating or otherwise violating their intellectual property rights, the outcome of which would be uncertain and could have a negative impact on the success of our business. It is possible that U.S. and foreign patents and pending patent applications controlled by third parties may be alleged to cover our products and services, or that we may be accused of misappropriating third parties’ trade secrets or infringing third parties’ trademarks. We may in the future become party to, or be threatened with, adversarial proceedings or litigation regarding intellectual property rights with respect to our products or services, including interference proceedings, post grant review and inter partes review before the USPTO or equivalent foreign regulatory authority.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 party patents are valid and enforceable, and infringed by the use of our products and/or services, which could have a negative impact on the commercial success of our current and any future products or services.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Conversely, in the United States, the patent owner need only prove infringement by a preponderance of the evidence, which is a lower burden of proof. We will have similar burdens to overcome in foreign courts in order to successfully challenge a third party claim of patent infringement.</w:t>
      </w:r>
    </w:p>
    <w:p>
      <w:pPr>
        <w:spacing w:after="0" w:line="127" w:lineRule="exact"/>
        <w:rPr>
          <w:sz w:val="20"/>
          <w:szCs w:val="20"/>
          <w:color w:val="auto"/>
        </w:rPr>
      </w:pPr>
    </w:p>
    <w:p>
      <w:pPr>
        <w:ind w:right="40" w:firstLine="309"/>
        <w:spacing w:after="0" w:line="273" w:lineRule="auto"/>
        <w:rPr>
          <w:sz w:val="20"/>
          <w:szCs w:val="20"/>
          <w:color w:val="auto"/>
        </w:rPr>
      </w:pPr>
      <w:r>
        <w:rPr>
          <w:rFonts w:ascii="Arial" w:cs="Arial" w:eastAsia="Arial" w:hAnsi="Arial"/>
          <w:sz w:val="16"/>
          <w:szCs w:val="16"/>
          <w:color w:val="auto"/>
        </w:rPr>
        <w:t>Our defense of any litigation or interference proceedings may fail and, even if successful, defending such claims brought against us would cause us to incur substantial expenses. If such claims are successfully asserted against us, they may result in substantial costs and distract our management and other employees and could cause us to pay substantial damages. Further, if a patent infringement or other intellectual property rights-related lawsuit were brought against us, we could be forced, including by court order, to cease developing, manufacturing and/or commercializing the infringing product or service. In addition, we could be found liable for monetary damages, including treble damages and attorneys’ fees, if we are found to have willfully infringed a patent or other intellectual property right. Although patent, trademark, trade secret, and other intellectual property disputes in the medical device area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w:t>
      </w:r>
    </w:p>
    <w:p>
      <w:pPr>
        <w:spacing w:after="0" w:line="122" w:lineRule="exact"/>
        <w:rPr>
          <w:sz w:val="20"/>
          <w:szCs w:val="20"/>
          <w:color w:val="auto"/>
        </w:rPr>
      </w:pPr>
    </w:p>
    <w:p>
      <w:pPr>
        <w:ind w:right="40" w:firstLine="309"/>
        <w:spacing w:after="0" w:line="257" w:lineRule="auto"/>
        <w:rPr>
          <w:sz w:val="20"/>
          <w:szCs w:val="20"/>
          <w:color w:val="auto"/>
        </w:rPr>
      </w:pPr>
      <w:r>
        <w:rPr>
          <w:rFonts w:ascii="Arial" w:cs="Arial" w:eastAsia="Arial" w:hAnsi="Arial"/>
          <w:sz w:val="17"/>
          <w:szCs w:val="17"/>
          <w:color w:val="auto"/>
        </w:rPr>
        <w:t>A finding of infringement, or an unfavorable interference or derivation proceedings outcome could prevent us from developing, manufacturing and/or commercializing our products or services,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or service introductions while we attempt to develop alternative products or services.</w:t>
      </w:r>
    </w:p>
    <w:p>
      <w:pPr>
        <w:spacing w:after="0" w:line="133" w:lineRule="exact"/>
        <w:rPr>
          <w:sz w:val="20"/>
          <w:szCs w:val="20"/>
          <w:color w:val="auto"/>
        </w:rPr>
      </w:pPr>
    </w:p>
    <w:p>
      <w:pPr>
        <w:ind w:right="140" w:firstLine="309"/>
        <w:spacing w:after="0" w:line="262" w:lineRule="auto"/>
        <w:rPr>
          <w:sz w:val="20"/>
          <w:szCs w:val="20"/>
          <w:color w:val="auto"/>
        </w:rPr>
      </w:pPr>
      <w:r>
        <w:rPr>
          <w:rFonts w:ascii="Arial" w:cs="Arial" w:eastAsia="Arial" w:hAnsi="Arial"/>
          <w:sz w:val="17"/>
          <w:szCs w:val="17"/>
          <w:color w:val="auto"/>
        </w:rPr>
        <w:t>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services.</w:t>
      </w:r>
    </w:p>
    <w:p>
      <w:pPr>
        <w:spacing w:after="0" w:line="200" w:lineRule="exact"/>
        <w:rPr>
          <w:sz w:val="20"/>
          <w:szCs w:val="20"/>
          <w:color w:val="auto"/>
        </w:rPr>
      </w:pPr>
    </w:p>
    <w:p>
      <w:pPr>
        <w:spacing w:after="0" w:line="33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0" w:firstLine="309"/>
        <w:spacing w:after="0" w:line="293" w:lineRule="auto"/>
        <w:rPr>
          <w:sz w:val="20"/>
          <w:szCs w:val="20"/>
          <w:color w:val="auto"/>
        </w:rPr>
      </w:pPr>
      <w:r>
        <w:rPr>
          <w:rFonts w:ascii="Arial" w:cs="Arial" w:eastAsia="Arial" w:hAnsi="Arial"/>
          <w:sz w:val="15"/>
          <w:szCs w:val="15"/>
          <w:color w:val="auto"/>
        </w:rPr>
        <w:t>Additionally, our products include components that we purchase from suppliers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services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services and business operations infringe, misappropriate or otherwise violate the intellectual property rights of others. The defense of these matters can be time-consuming, costly to defend in litigation, divert management’s attention and resources, damage our reputation and brand and cause us to incur significant expenses or make substantial payments. In addition, suppliers from whom we purchase hardware or software may not indemnify us in the event that such hardware or software is accused of infringing a third party’s patent or trademark or of misappropriating a third party’s trade secret.</w:t>
      </w:r>
    </w:p>
    <w:p>
      <w:pPr>
        <w:spacing w:after="0" w:line="107" w:lineRule="exact"/>
        <w:rPr>
          <w:sz w:val="20"/>
          <w:szCs w:val="20"/>
          <w:color w:val="auto"/>
        </w:rPr>
      </w:pPr>
    </w:p>
    <w:p>
      <w:pPr>
        <w:ind w:firstLine="309"/>
        <w:spacing w:after="0" w:line="257" w:lineRule="auto"/>
        <w:rPr>
          <w:sz w:val="20"/>
          <w:szCs w:val="20"/>
          <w:color w:val="auto"/>
        </w:rPr>
      </w:pPr>
      <w:r>
        <w:rPr>
          <w:rFonts w:ascii="Arial" w:cs="Arial" w:eastAsia="Arial" w:hAnsi="Arial"/>
          <w:sz w:val="17"/>
          <w:szCs w:val="17"/>
          <w:color w:val="auto"/>
        </w:rPr>
        <w:t>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products or services. Two of our applications filed in Europe are currently subject to opposition challenges.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services. Such a loss of patent protection would have a material adverse impact on our business, financial condition, results of operations, and prospects.</w:t>
      </w:r>
    </w:p>
    <w:p>
      <w:pPr>
        <w:spacing w:after="0" w:line="130" w:lineRule="exact"/>
        <w:rPr>
          <w:sz w:val="20"/>
          <w:szCs w:val="20"/>
          <w:color w:val="auto"/>
        </w:rPr>
      </w:pPr>
    </w:p>
    <w:p>
      <w:pPr>
        <w:ind w:right="60" w:firstLine="309"/>
        <w:spacing w:after="0" w:line="275" w:lineRule="auto"/>
        <w:rPr>
          <w:sz w:val="20"/>
          <w:szCs w:val="20"/>
          <w:color w:val="auto"/>
        </w:rPr>
      </w:pPr>
      <w:r>
        <w:rPr>
          <w:rFonts w:ascii="Arial" w:cs="Arial" w:eastAsia="Arial" w:hAnsi="Arial"/>
          <w:sz w:val="16"/>
          <w:szCs w:val="16"/>
          <w:color w:val="auto"/>
        </w:rPr>
        <w:t>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w:t>
      </w:r>
    </w:p>
    <w:p>
      <w:pPr>
        <w:spacing w:after="0" w:line="11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Our use of “open source” software could subject our proprietary software to general release, adversely affect our ability to sell our AquaBeam Robotic System or our other current or future products and services and subject us to possible litigation.</w:t>
      </w:r>
    </w:p>
    <w:p>
      <w:pPr>
        <w:spacing w:after="0" w:line="113" w:lineRule="exact"/>
        <w:rPr>
          <w:sz w:val="20"/>
          <w:szCs w:val="20"/>
          <w:color w:val="auto"/>
        </w:rPr>
      </w:pPr>
    </w:p>
    <w:p>
      <w:pPr>
        <w:ind w:firstLine="309"/>
        <w:spacing w:after="0" w:line="292" w:lineRule="auto"/>
        <w:rPr>
          <w:sz w:val="20"/>
          <w:szCs w:val="20"/>
          <w:color w:val="auto"/>
        </w:rPr>
      </w:pPr>
      <w:r>
        <w:rPr>
          <w:rFonts w:ascii="Arial" w:cs="Arial" w:eastAsia="Arial" w:hAnsi="Arial"/>
          <w:sz w:val="15"/>
          <w:szCs w:val="15"/>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software that uses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AquaBeam Robotic System and our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AquaBeam Robotic</w:t>
      </w:r>
    </w:p>
    <w:p>
      <w:pPr>
        <w:spacing w:after="0" w:line="200" w:lineRule="exact"/>
        <w:rPr>
          <w:sz w:val="20"/>
          <w:szCs w:val="20"/>
          <w:color w:val="auto"/>
        </w:rPr>
      </w:pPr>
    </w:p>
    <w:p>
      <w:pPr>
        <w:spacing w:after="0" w:line="32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System and our other current and future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w:t>
      </w:r>
    </w:p>
    <w:p>
      <w:pPr>
        <w:spacing w:after="0" w:line="166" w:lineRule="exact"/>
        <w:rPr>
          <w:sz w:val="20"/>
          <w:szCs w:val="20"/>
          <w:color w:val="auto"/>
        </w:rPr>
      </w:pPr>
    </w:p>
    <w:p>
      <w:pPr>
        <w:ind w:right="440" w:firstLine="3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3" w:lineRule="exact"/>
        <w:rPr>
          <w:sz w:val="20"/>
          <w:szCs w:val="20"/>
          <w:color w:val="auto"/>
        </w:rPr>
      </w:pPr>
    </w:p>
    <w:p>
      <w:pPr>
        <w:ind w:left="620" w:right="220" w:hanging="307"/>
        <w:spacing w:after="0" w:line="266"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our AquaBeam Robotic System and our other current or future products or utilize similar technology but that are not covered by the claims of our patents or that incorporate certain technology in our AquaBeam Robotic System and our other current and future products that is in the public domain;</w:t>
      </w:r>
    </w:p>
    <w:p>
      <w:pPr>
        <w:spacing w:after="0" w:line="12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certain of our or their inventions;</w:t>
      </w:r>
    </w:p>
    <w:p>
      <w:pPr>
        <w:spacing w:after="0" w:line="165" w:lineRule="exact"/>
        <w:rPr>
          <w:rFonts w:ascii="Arial" w:cs="Arial" w:eastAsia="Arial" w:hAnsi="Arial"/>
          <w:sz w:val="17"/>
          <w:szCs w:val="17"/>
          <w:color w:val="auto"/>
        </w:rPr>
      </w:pPr>
    </w:p>
    <w:p>
      <w:pPr>
        <w:ind w:left="620" w:right="320" w:hanging="307"/>
        <w:spacing w:after="0" w:line="279"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it is possible that our current or future pending patent applications will not lead to issued patents;</w:t>
      </w:r>
    </w:p>
    <w:p>
      <w:pPr>
        <w:spacing w:after="0" w:line="165" w:lineRule="exact"/>
        <w:rPr>
          <w:rFonts w:ascii="Arial" w:cs="Arial" w:eastAsia="Arial" w:hAnsi="Arial"/>
          <w:sz w:val="17"/>
          <w:szCs w:val="17"/>
          <w:color w:val="auto"/>
        </w:rPr>
      </w:pPr>
    </w:p>
    <w:p>
      <w:pPr>
        <w:ind w:left="620" w:right="420" w:hanging="307"/>
        <w:spacing w:after="0" w:line="279"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 or other third parties;</w:t>
      </w:r>
    </w:p>
    <w:p>
      <w:pPr>
        <w:spacing w:after="0" w:line="112" w:lineRule="exact"/>
        <w:rPr>
          <w:rFonts w:ascii="Arial" w:cs="Arial" w:eastAsia="Arial" w:hAnsi="Arial"/>
          <w:sz w:val="17"/>
          <w:szCs w:val="17"/>
          <w:color w:val="auto"/>
        </w:rPr>
      </w:pPr>
    </w:p>
    <w:p>
      <w:pPr>
        <w:ind w:left="620" w:right="60" w:hanging="307"/>
        <w:spacing w:after="0" w:line="279"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patents of others may harm our business; and</w:t>
      </w:r>
    </w:p>
    <w:p>
      <w:pPr>
        <w:spacing w:after="0" w:line="165"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may choose not to file a patent in order to maintain certain trade secrets or know-how, and a third party may subsequently file a patent covering such intellectual property.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Any of the foregoing could have a material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and proprietary rights throughout the world.</w:t>
      </w:r>
    </w:p>
    <w:p>
      <w:pPr>
        <w:spacing w:after="0" w:line="165" w:lineRule="exact"/>
        <w:rPr>
          <w:sz w:val="20"/>
          <w:szCs w:val="20"/>
          <w:color w:val="auto"/>
        </w:rPr>
      </w:pPr>
    </w:p>
    <w:p>
      <w:pPr>
        <w:ind w:right="360" w:firstLine="309"/>
        <w:spacing w:after="0" w:line="318" w:lineRule="auto"/>
        <w:rPr>
          <w:sz w:val="20"/>
          <w:szCs w:val="20"/>
          <w:color w:val="auto"/>
        </w:rPr>
      </w:pPr>
      <w:r>
        <w:rPr>
          <w:rFonts w:ascii="Arial" w:cs="Arial" w:eastAsia="Arial" w:hAnsi="Arial"/>
          <w:sz w:val="15"/>
          <w:szCs w:val="15"/>
          <w:color w:val="auto"/>
        </w:rPr>
        <w:t>Third parties may attempt to develop, manufacture and/or commercialize competitive products or services in foreign countries utilizing our proprietary technology, design, trademarks or tradenames in foreign countries where we do not have any patents or patent applications, trademarks, and/or other forms of intellectual property rights and/or where legal recourse may be limited. This may have a significant commercial impact on our foreign business operations.</w:t>
      </w:r>
    </w:p>
    <w:p>
      <w:pPr>
        <w:spacing w:after="0" w:line="88"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Filing, prosecuting and defending patents or trademarks on our AquaBeam Robotic System and all of our other current and future products and services in all countries throughout the world would be prohibitively expensive, and the laws of foreign countries particularly those of developing countries, may not protect our rights to the same extent as the laws of the United States. For example, as of May 1, 2021, the Patent Cooperation Treaty had 153 contracting states, and it is only economically feasible to file for protection in a portion of these countries. With the COVID-19 pandemic, some of our foreign associates have requested instructions well in advance of deadlines, which could adversely affect our ability to meet foreign deadlines for filing and prosecuting patent applications. Also, it is unclear to what extent the COVID-19 pandemic will adversely impact operations at some foreign patent offices where we have sought protection. Consequently, we may not be able to prevent third parties from practicing our inventions or trademarks in all jurisdictions outside the United States to the same extent as the United States, or from developing, manufacturing, selling or importing products or services</w:t>
      </w:r>
    </w:p>
    <w:p>
      <w:pPr>
        <w:spacing w:after="0" w:line="200" w:lineRule="exact"/>
        <w:rPr>
          <w:sz w:val="20"/>
          <w:szCs w:val="20"/>
          <w:color w:val="auto"/>
        </w:rPr>
      </w:pPr>
    </w:p>
    <w:p>
      <w:pPr>
        <w:spacing w:after="0" w:line="33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using or incorporating our inventions or trademarks in and into the United States or other jurisdictions. Competitors may use our technologies in jurisdictions where we have not obtained patent or trademark protection to develop, manufacture and/or market their own products or services and, further, may export otherwise infringing products or services to territories where we have patent or trademark protection, but enforcement on infringing activities is inadequate or not as strong as that in the United States. These products or services may compete with our AquaBeam Robotic System or other current or future products or services, and our patents, trademarks or other intellectual property rights may not be effective or sufficient to prevent them from competing.</w:t>
      </w:r>
    </w:p>
    <w:p>
      <w:pPr>
        <w:spacing w:after="0" w:line="117" w:lineRule="exact"/>
        <w:rPr>
          <w:sz w:val="20"/>
          <w:szCs w:val="20"/>
          <w:color w:val="auto"/>
        </w:rPr>
      </w:pPr>
    </w:p>
    <w:p>
      <w:pPr>
        <w:ind w:right="60" w:firstLine="309"/>
        <w:spacing w:after="0" w:line="259" w:lineRule="auto"/>
        <w:rPr>
          <w:sz w:val="20"/>
          <w:szCs w:val="20"/>
          <w:color w:val="auto"/>
        </w:rPr>
      </w:pPr>
      <w:r>
        <w:rPr>
          <w:rFonts w:ascii="Arial" w:cs="Arial" w:eastAsia="Arial" w:hAnsi="Arial"/>
          <w:sz w:val="17"/>
          <w:szCs w:val="17"/>
          <w:color w:val="auto"/>
        </w:rPr>
        <w:t>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or technology. For example, certain jurisdictions do not allow for patent protection with respect to method of treatment.</w:t>
      </w:r>
    </w:p>
    <w:p>
      <w:pPr>
        <w:spacing w:after="0" w:line="131" w:lineRule="exact"/>
        <w:rPr>
          <w:sz w:val="20"/>
          <w:szCs w:val="20"/>
          <w:color w:val="auto"/>
        </w:rPr>
      </w:pPr>
    </w:p>
    <w:p>
      <w:pPr>
        <w:ind w:firstLine="309"/>
        <w:spacing w:after="0" w:line="292" w:lineRule="auto"/>
        <w:rPr>
          <w:sz w:val="20"/>
          <w:szCs w:val="20"/>
          <w:color w:val="auto"/>
        </w:rPr>
      </w:pPr>
      <w:r>
        <w:rPr>
          <w:rFonts w:ascii="Arial" w:cs="Arial" w:eastAsia="Arial" w:hAnsi="Arial"/>
          <w:sz w:val="15"/>
          <w:szCs w:val="15"/>
          <w:color w:val="auto"/>
        </w:rPr>
        <w:t>While we seek to protect our intellectual property rights in our expected significant markets, we cannot ensure that we will be able to initiate or maintain similar efforts in all jurisdictions in which we may wish to manufacture or market our products or services. Accordingly, our efforts to protect our intellectual property rights in such countries may be inadequate, which may have an adverse effect on our ability to successfully manufacture or commercialize our products or services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08" w:lineRule="exact"/>
        <w:rPr>
          <w:sz w:val="20"/>
          <w:szCs w:val="20"/>
          <w:color w:val="auto"/>
        </w:rPr>
      </w:pPr>
    </w:p>
    <w:p>
      <w:pPr>
        <w:ind w:right="120" w:firstLine="309"/>
        <w:spacing w:after="0" w:line="283" w:lineRule="auto"/>
        <w:rPr>
          <w:sz w:val="20"/>
          <w:szCs w:val="20"/>
          <w:color w:val="auto"/>
        </w:rPr>
      </w:pPr>
      <w:r>
        <w:rPr>
          <w:rFonts w:ascii="Arial" w:cs="Arial" w:eastAsia="Arial" w:hAnsi="Arial"/>
          <w:sz w:val="16"/>
          <w:szCs w:val="16"/>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12" w:lineRule="exact"/>
        <w:rPr>
          <w:sz w:val="20"/>
          <w:szCs w:val="20"/>
          <w:color w:val="auto"/>
        </w:rPr>
      </w:pPr>
    </w:p>
    <w:p>
      <w:pPr>
        <w:jc w:val="both"/>
        <w:ind w:right="140" w:firstLine="309"/>
        <w:spacing w:after="0" w:line="262" w:lineRule="auto"/>
        <w:rPr>
          <w:sz w:val="20"/>
          <w:szCs w:val="20"/>
          <w:color w:val="auto"/>
        </w:rPr>
      </w:pPr>
      <w:r>
        <w:rPr>
          <w:rFonts w:ascii="Arial" w:cs="Arial" w:eastAsia="Arial" w:hAnsi="Arial"/>
          <w:sz w:val="17"/>
          <w:szCs w:val="17"/>
          <w:color w:val="auto"/>
        </w:rPr>
        <w:t>Proceedings to enforce our patent and trademark rights in foreign jurisdictions could result in substantial costs and divert our attention from other aspects of our business, could put our patents and trademarks or applications in those jurisdictions, as well as elsewhere, at risk of being invalidated or interpreted narrowly, and could provoke third parties to assert claims against us. We may not prevail in any proceedings that we initiate and the damages or other remedies awarded, if any, may not be commercially meaningful.</w:t>
      </w:r>
    </w:p>
    <w:p>
      <w:pPr>
        <w:spacing w:after="0" w:line="12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b w:val="1"/>
          <w:bCs w:val="1"/>
          <w:i w:val="1"/>
          <w:iCs w:val="1"/>
          <w:color w:val="auto"/>
        </w:rPr>
        <w:t>We heavily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are important to our business.</w:t>
      </w:r>
    </w:p>
    <w:p>
      <w:pPr>
        <w:spacing w:after="0" w:line="124" w:lineRule="exact"/>
        <w:rPr>
          <w:sz w:val="20"/>
          <w:szCs w:val="20"/>
          <w:color w:val="auto"/>
        </w:rPr>
      </w:pPr>
    </w:p>
    <w:p>
      <w:pPr>
        <w:ind w:right="20" w:firstLine="309"/>
        <w:spacing w:after="0" w:line="277" w:lineRule="auto"/>
        <w:rPr>
          <w:sz w:val="20"/>
          <w:szCs w:val="20"/>
          <w:color w:val="auto"/>
        </w:rPr>
      </w:pPr>
      <w:r>
        <w:rPr>
          <w:rFonts w:ascii="Arial" w:cs="Arial" w:eastAsia="Arial" w:hAnsi="Arial"/>
          <w:sz w:val="16"/>
          <w:szCs w:val="16"/>
          <w:color w:val="auto"/>
        </w:rPr>
        <w:t>We are dependent on patents, know-how and other proprietary technology licensed from AquaBeam LLC. This and other licenses we currently possess or may possess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Moreover, if we fail to comply with our obligations under such licenses, or if disputes over intellectual property that we have licensed prevent or impair our ability to maintain our current licensing arrangements on acceptable terms, we may be unable to successfully develop and commercialize the affected technology or products.</w: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Certain provisions in our intellectual property agreements with third parties may also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results of operations, financial condition, cash flows and prospects. In spite of our efforts, our current and future licensors might also conclude that we have breached our obligations under our license agreements and might therefore seek to terminate such license agreements, thereby removing or limiting our ability to develop and commercialize products and technology covered by these license agreements. As a result, any termination of these licenses could result in the loss of significant rights and could harm our ability to commercialize our products, including, for example, the AquaBeam Robotic System, and our financial results.</w:t>
      </w:r>
    </w:p>
    <w:p>
      <w:pPr>
        <w:spacing w:after="0" w:line="118" w:lineRule="exact"/>
        <w:rPr>
          <w:sz w:val="20"/>
          <w:szCs w:val="20"/>
          <w:color w:val="auto"/>
        </w:rPr>
      </w:pPr>
    </w:p>
    <w:p>
      <w:pPr>
        <w:ind w:right="20" w:firstLine="309"/>
        <w:spacing w:after="0" w:line="258" w:lineRule="auto"/>
        <w:rPr>
          <w:sz w:val="20"/>
          <w:szCs w:val="20"/>
          <w:color w:val="auto"/>
        </w:rPr>
      </w:pPr>
      <w:r>
        <w:rPr>
          <w:rFonts w:ascii="Arial" w:cs="Arial" w:eastAsia="Arial" w:hAnsi="Arial"/>
          <w:sz w:val="17"/>
          <w:szCs w:val="17"/>
          <w:color w:val="auto"/>
        </w:rPr>
        <w:t>In addition, we may need to obtain additional licenses from our existing licensors and others to allow commercialization of products we may develop. Moreover, we may be required to expend significant time and resources to redesign our technology, products, or the methods for manufacturing them or to develop or license replacement technology, all of which may not be feasible on a technical or commercial basis. If we are unable to do so, we may be unable to develop or commercialize the affected technology or products. Even if we are able to obtain such additional licenses, they may be non-exclusive thereby giving our competitors and other third parties access to the same technology licensed to us. Any of the foregoing could have an adverse impact on our business and financial results.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17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which could result in substantial losses for holders of our common stock, and we may not be able to meet investor or analyst expectations.</w:t>
      </w:r>
    </w:p>
    <w:p>
      <w:pPr>
        <w:spacing w:after="0" w:line="89" w:lineRule="exact"/>
        <w:rPr>
          <w:sz w:val="20"/>
          <w:szCs w:val="20"/>
          <w:color w:val="auto"/>
        </w:rPr>
      </w:pPr>
    </w:p>
    <w:p>
      <w:pPr>
        <w:ind w:right="500" w:firstLine="309"/>
        <w:spacing w:after="0" w:line="279" w:lineRule="auto"/>
        <w:rPr>
          <w:sz w:val="20"/>
          <w:szCs w:val="20"/>
          <w:color w:val="auto"/>
        </w:rPr>
      </w:pPr>
      <w:r>
        <w:rPr>
          <w:rFonts w:ascii="Arial" w:cs="Arial" w:eastAsia="Arial" w:hAnsi="Arial"/>
          <w:sz w:val="17"/>
          <w:szCs w:val="17"/>
          <w:color w:val="auto"/>
        </w:rPr>
        <w:t>The market price of our common stock may be highly volatile and fluctuate or decline significantly in response to numerous factors, many of which are beyond our control, including:</w:t>
      </w:r>
    </w:p>
    <w:p>
      <w:pPr>
        <w:spacing w:after="0" w:line="113" w:lineRule="exact"/>
        <w:rPr>
          <w:sz w:val="20"/>
          <w:szCs w:val="20"/>
          <w:color w:val="auto"/>
        </w:rPr>
      </w:pPr>
    </w:p>
    <w:p>
      <w:pPr>
        <w:ind w:left="620" w:right="280" w:hanging="307"/>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variations between our actual operating results, or those of companies that are perceived to be similar to us, and the expectations of securities analysts, investors and the financial community;</w:t>
      </w:r>
    </w:p>
    <w:p>
      <w:pPr>
        <w:spacing w:after="0" w:line="112"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forward-looking financial or operating information we may provide to the public or securities analysts, any changes in this information or our failure to meet expectations based on this information;</w:t>
      </w:r>
    </w:p>
    <w:p>
      <w:pPr>
        <w:spacing w:after="0" w:line="112" w:lineRule="exact"/>
        <w:rPr>
          <w:rFonts w:ascii="Arial" w:cs="Arial" w:eastAsia="Arial" w:hAnsi="Arial"/>
          <w:sz w:val="17"/>
          <w:szCs w:val="17"/>
          <w:color w:val="auto"/>
        </w:rPr>
      </w:pPr>
    </w:p>
    <w:p>
      <w:pPr>
        <w:ind w:left="620" w:right="180" w:hanging="307"/>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additional shares of our common stock being sold into the market by us or our existing stockholders, or the anticipation of such sales;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hedging activities by market participants;</w:t>
      </w:r>
    </w:p>
    <w:p>
      <w:pPr>
        <w:spacing w:after="0" w:line="165" w:lineRule="exact"/>
        <w:rPr>
          <w:rFonts w:ascii="Arial" w:cs="Arial" w:eastAsia="Arial" w:hAnsi="Arial"/>
          <w:sz w:val="17"/>
          <w:szCs w:val="17"/>
          <w:color w:val="auto"/>
        </w:rPr>
      </w:pPr>
    </w:p>
    <w:p>
      <w:pPr>
        <w:ind w:left="620" w:right="240" w:hanging="307"/>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products or features, technical innovations, acquisitions, strategic partnerships, joint ventures or capital commitments;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companies in our industry, including our competitors;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changes in third-party payor reimbursement policies;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inability to obtain additional funding;</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general economic, industry and market conditions, including price and volume fluctuations in the overall stock market;</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lawsuits threatened or filed against us;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developments in new legislation and pending lawsuits or regulatory actions, including interim or final rulings by judicial or regulatory bodies; and</w:t>
      </w:r>
    </w:p>
    <w:p>
      <w:pPr>
        <w:spacing w:after="0" w:line="176" w:lineRule="exact"/>
        <w:rPr>
          <w:rFonts w:ascii="Arial" w:cs="Arial" w:eastAsia="Arial" w:hAnsi="Arial"/>
          <w:sz w:val="16"/>
          <w:szCs w:val="16"/>
          <w:color w:val="auto"/>
        </w:rPr>
      </w:pPr>
    </w:p>
    <w:p>
      <w:pPr>
        <w:ind w:left="620" w:right="380" w:hanging="307"/>
        <w:spacing w:after="0" w:line="279"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political conditions, election cycles, war or incidents of terrorism, or responses to these events, many of which are outside of our control.</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firstLine="309"/>
        <w:spacing w:after="0" w:line="259" w:lineRule="auto"/>
        <w:rPr>
          <w:sz w:val="20"/>
          <w:szCs w:val="20"/>
          <w:color w:val="auto"/>
        </w:rPr>
      </w:pPr>
      <w:r>
        <w:rPr>
          <w:rFonts w:ascii="Arial" w:cs="Arial" w:eastAsia="Arial" w:hAnsi="Arial"/>
          <w:sz w:val="17"/>
          <w:szCs w:val="17"/>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This risk is especially relevant for us because medical technology companies have experienced significant stock price volatility in recent years. If we were to become involved in securities litigation, it could subject us to substantial costs, divert resources and the attention of management from our business and seriously harm our business.</w:t>
      </w:r>
    </w:p>
    <w:p>
      <w:pPr>
        <w:spacing w:after="0" w:line="131" w:lineRule="exact"/>
        <w:rPr>
          <w:sz w:val="20"/>
          <w:szCs w:val="20"/>
          <w:color w:val="auto"/>
        </w:rPr>
      </w:pPr>
    </w:p>
    <w:p>
      <w:pPr>
        <w:ind w:right="140" w:firstLine="309"/>
        <w:spacing w:after="0" w:line="258" w:lineRule="auto"/>
        <w:rPr>
          <w:sz w:val="20"/>
          <w:szCs w:val="20"/>
          <w:color w:val="auto"/>
        </w:rPr>
      </w:pPr>
      <w:r>
        <w:rPr>
          <w:rFonts w:ascii="Arial" w:cs="Arial" w:eastAsia="Arial" w:hAnsi="Arial"/>
          <w:sz w:val="17"/>
          <w:szCs w:val="17"/>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3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13" w:lineRule="exact"/>
        <w:rPr>
          <w:sz w:val="20"/>
          <w:szCs w:val="20"/>
          <w:color w:val="auto"/>
        </w:rPr>
      </w:pPr>
    </w:p>
    <w:p>
      <w:pPr>
        <w:jc w:val="both"/>
        <w:ind w:right="80" w:firstLine="309"/>
        <w:spacing w:after="0" w:line="25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our loan and security agreement with Canadian Imperial Bank of Commerce restrict our ability to pay dividends to limited circumstances. Accordingly, investors must rely on sales of their common stock after price appreciation, which may never occur, as the only way to realize any future gains on their investments.</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13" w:lineRule="exact"/>
        <w:rPr>
          <w:sz w:val="20"/>
          <w:szCs w:val="20"/>
          <w:color w:val="auto"/>
        </w:rPr>
      </w:pPr>
    </w:p>
    <w:p>
      <w:pPr>
        <w:ind w:right="100" w:firstLine="309"/>
        <w:spacing w:after="0" w:line="258" w:lineRule="auto"/>
        <w:rPr>
          <w:sz w:val="20"/>
          <w:szCs w:val="20"/>
          <w:color w:val="auto"/>
        </w:rPr>
      </w:pPr>
      <w:r>
        <w:rPr>
          <w:rFonts w:ascii="Arial" w:cs="Arial" w:eastAsia="Arial" w:hAnsi="Arial"/>
          <w:sz w:val="17"/>
          <w:szCs w:val="17"/>
          <w:color w:val="auto"/>
        </w:rPr>
        <w:t>As of December 31, 2022, our executive officers, directors and 5% stockholders beneficially own a substantial amount of our common stock. Therefore these stockholders will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165"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holders of our common stock bear the risk that future issuances of debt or equity securities may reduce the value of our common stock and further dilute their ownership interest.</w:t>
      </w:r>
    </w:p>
    <w:p>
      <w:pPr>
        <w:spacing w:after="0" w:line="13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13"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Our amended and restated certificate of incorporation and bylaws currently in effect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24" w:lineRule="exact"/>
        <w:rPr>
          <w:sz w:val="20"/>
          <w:szCs w:val="20"/>
          <w:color w:val="auto"/>
        </w:rPr>
      </w:pPr>
    </w:p>
    <w:p>
      <w:pPr>
        <w:ind w:left="620" w:hanging="307"/>
        <w:spacing w:after="0"/>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establishing a classified board of directors so that not all members of our board of directors are elected at one time;</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700"/>
        <w:spacing w:after="0"/>
        <w:rPr>
          <w:rFonts w:ascii="Arial" w:cs="Arial" w:eastAsia="Arial" w:hAnsi="Arial"/>
          <w:sz w:val="17"/>
          <w:szCs w:val="17"/>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permitting our board of directors to establish the number of directors and fill any vacancies and newly-created directorships;</w:t>
      </w:r>
    </w:p>
    <w:p>
      <w:pPr>
        <w:spacing w:after="0" w:line="165" w:lineRule="exact"/>
        <w:rPr>
          <w:rFonts w:ascii="Arial" w:cs="Arial" w:eastAsia="Arial" w:hAnsi="Arial"/>
          <w:sz w:val="17"/>
          <w:szCs w:val="17"/>
          <w:color w:val="auto"/>
        </w:rPr>
      </w:pPr>
    </w:p>
    <w:p>
      <w:pPr>
        <w:ind w:left="620" w:right="280" w:hanging="307"/>
        <w:spacing w:after="0" w:line="279" w:lineRule="auto"/>
        <w:tabs>
          <w:tab w:leader="none" w:pos="6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providing that directors may only be removed for cause and only by the affirmative vote of the holders of at least a majority of the voting power of all then outstanding shares of our capital stock;</w:t>
      </w:r>
    </w:p>
    <w:p>
      <w:pPr>
        <w:spacing w:after="0" w:line="112" w:lineRule="exact"/>
        <w:rPr>
          <w:rFonts w:ascii="Arial" w:cs="Arial" w:eastAsia="Arial" w:hAnsi="Arial"/>
          <w:sz w:val="17"/>
          <w:szCs w:val="17"/>
          <w:color w:val="auto"/>
        </w:rPr>
      </w:pPr>
    </w:p>
    <w:p>
      <w:pPr>
        <w:ind w:left="620" w:right="300" w:hanging="307"/>
        <w:spacing w:after="0" w:line="279" w:lineRule="auto"/>
        <w:tabs>
          <w:tab w:leader="none" w:pos="6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requiring the approval of holders of two-thirds of our outstanding common stock to amend some provisions in our amended and restated certificate of incorporation and bylaws;</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prohibiting stockholders from calling special meetings of stockholders;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has the effect of requiring all stockholder actions to be taken at a meeting of our stockholders;</w:t>
      </w:r>
    </w:p>
    <w:p>
      <w:pPr>
        <w:spacing w:after="0" w:line="176" w:lineRule="exact"/>
        <w:rPr>
          <w:rFonts w:ascii="Arial" w:cs="Arial" w:eastAsia="Arial" w:hAnsi="Arial"/>
          <w:sz w:val="16"/>
          <w:szCs w:val="16"/>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providing that the board of directors is expressly authorized to make, alter or repeal our bylaws;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restricting the forum for certain litigation involving us to Delaware or federal courts, as applicable; and</w:t>
      </w:r>
    </w:p>
    <w:p>
      <w:pPr>
        <w:spacing w:after="0" w:line="165" w:lineRule="exact"/>
        <w:rPr>
          <w:rFonts w:ascii="Arial" w:cs="Arial" w:eastAsia="Arial" w:hAnsi="Arial"/>
          <w:sz w:val="17"/>
          <w:szCs w:val="17"/>
          <w:color w:val="auto"/>
        </w:rPr>
      </w:pPr>
    </w:p>
    <w:p>
      <w:pPr>
        <w:ind w:left="620" w:right="580" w:hanging="307"/>
        <w:spacing w:after="0" w:line="279" w:lineRule="auto"/>
        <w:tabs>
          <w:tab w:leader="none" w:pos="616" w:val="left"/>
        </w:tabs>
        <w:numPr>
          <w:ilvl w:val="0"/>
          <w:numId w:val="61"/>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our board of directors or for proposing matters that can be acted upon by stockholders at annual stockholder meetings.</w:t>
      </w:r>
    </w:p>
    <w:p>
      <w:pPr>
        <w:spacing w:after="0" w:line="113"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Any provision of our amended and restated certificate of incorporation currently in effect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24" w:lineRule="exact"/>
        <w:rPr>
          <w:sz w:val="20"/>
          <w:szCs w:val="20"/>
          <w:color w:val="auto"/>
        </w:rPr>
      </w:pPr>
    </w:p>
    <w:p>
      <w:pPr>
        <w:ind w:right="160" w:firstLine="309"/>
        <w:spacing w:after="0" w:line="312" w:lineRule="auto"/>
        <w:rPr>
          <w:sz w:val="20"/>
          <w:szCs w:val="20"/>
          <w:color w:val="auto"/>
        </w:rPr>
      </w:pPr>
      <w:r>
        <w:rPr>
          <w:rFonts w:ascii="Arial" w:cs="Arial" w:eastAsia="Arial" w:hAnsi="Arial"/>
          <w:sz w:val="16"/>
          <w:szCs w:val="16"/>
          <w:color w:val="auto"/>
        </w:rPr>
        <w:t>The provisions of our amended and restated certificate of incorporation requiring exclusive forum in the Court of Chancery of the State of Delaware and the federal district courts of the United States for certain types of lawsuits may have the effect of discouraging lawsuits against our directors and officers.</w:t>
      </w:r>
    </w:p>
    <w:p>
      <w:pPr>
        <w:spacing w:after="0" w:line="89" w:lineRule="exact"/>
        <w:rPr>
          <w:sz w:val="20"/>
          <w:szCs w:val="20"/>
          <w:color w:val="auto"/>
        </w:rPr>
      </w:pPr>
    </w:p>
    <w:p>
      <w:pPr>
        <w:ind w:right="20" w:firstLine="309"/>
        <w:spacing w:after="0" w:line="273" w:lineRule="auto"/>
        <w:rPr>
          <w:sz w:val="20"/>
          <w:szCs w:val="20"/>
          <w:color w:val="auto"/>
        </w:rPr>
      </w:pPr>
      <w:r>
        <w:rPr>
          <w:rFonts w:ascii="Arial" w:cs="Arial" w:eastAsia="Arial" w:hAnsi="Arial"/>
          <w:sz w:val="16"/>
          <w:szCs w:val="16"/>
          <w:color w:val="auto"/>
        </w:rPr>
        <w:t>Our amended and restated certificate of incorporation currently in effect provide that, unless we consent in writing to the selection of an alternative forum, the sole and exclusive forum, to the fullest extent permitted by law, for (i) any derivative action or proceeding brought on our behalf, (ii) any action asserting a breach of a fiduciary duty owed by any director, officer or other employee to us or our stockholders, (iii) any action asserting a claim against us or any director, officer, or other employee arising pursuant to the Delaware General Corporation Law, (iv) any action to interpret, apply, enforce, or determine the validity of our second amended and restated certificate of incorporation or amended and restated bylaws, or (v) any other action asserting a claim that is governed by the internal affairs doctrine, shall be the Court of Chancery of the State of Delaware (or another state court or the federal court located within the State of Delaware if the Court of Chancery does not have or declines to accept jurisdiction), in all cases subject to the court’s having jurisdiction over indispensable parties named as defendants. In addition, our amended and restated certificate of incorporation will provide that the federal district courts of the United States will be the exclusive forum for resolving any complaint asserting a cause of action arising under the Securities Act but that the forum selection provision will not apply to claims brought to enforce a duty or liability created by the Exchange Act.</w:t>
      </w:r>
    </w:p>
    <w:p>
      <w:pPr>
        <w:spacing w:after="0" w:line="125" w:lineRule="exact"/>
        <w:rPr>
          <w:sz w:val="20"/>
          <w:szCs w:val="20"/>
          <w:color w:val="auto"/>
        </w:rPr>
      </w:pPr>
    </w:p>
    <w:p>
      <w:pPr>
        <w:ind w:right="20" w:firstLine="309"/>
        <w:spacing w:after="0" w:line="274"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Delaware law for the specified types of actions and proceedings, the provisions may have the effect of discouraging lawsuits against us or our directors and officers.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financial condition, and operating results.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Any person or entity purchasing or otherwise acquiring any interest in our shares of capital stock shall be deemed to have notice of and consented to this exclusive forum provision, but will not be deemed to have waived our compliance with the federal securities laws and the rules and regulations thereunder. These provisions may also result in increased costs for investors seeking to bring a claim against us or any of our directors, officers or other employees.</w:t>
      </w:r>
    </w:p>
    <w:p>
      <w:pPr>
        <w:spacing w:after="0" w:line="200" w:lineRule="exact"/>
        <w:rPr>
          <w:sz w:val="20"/>
          <w:szCs w:val="20"/>
          <w:color w:val="auto"/>
        </w:rPr>
      </w:pPr>
    </w:p>
    <w:p>
      <w:pPr>
        <w:spacing w:after="0" w:line="333"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Being a Public Company</w:t>
      </w:r>
    </w:p>
    <w:p>
      <w:pPr>
        <w:spacing w:after="0" w:line="171"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b w:val="1"/>
          <w:bCs w:val="1"/>
          <w:i w:val="1"/>
          <w:iCs w:val="1"/>
          <w:color w:val="auto"/>
        </w:rPr>
        <w:t>If we are not able to maintain adequate internal control over financial reporting, or if we are unable to produce timely or accurate financial statements, investors may lose confidence in our operating results and the trading price of our common stock could decline.</w:t>
      </w:r>
    </w:p>
    <w:p>
      <w:pPr>
        <w:spacing w:after="0" w:line="89" w:lineRule="exact"/>
        <w:rPr>
          <w:sz w:val="20"/>
          <w:szCs w:val="20"/>
          <w:color w:val="auto"/>
        </w:rPr>
      </w:pPr>
    </w:p>
    <w:p>
      <w:pPr>
        <w:ind w:firstLine="309"/>
        <w:spacing w:after="0" w:line="276" w:lineRule="auto"/>
        <w:rPr>
          <w:sz w:val="20"/>
          <w:szCs w:val="20"/>
          <w:color w:val="auto"/>
        </w:rPr>
      </w:pPr>
      <w:r>
        <w:rPr>
          <w:rFonts w:ascii="Arial" w:cs="Arial" w:eastAsia="Arial" w:hAnsi="Arial"/>
          <w:sz w:val="16"/>
          <w:szCs w:val="16"/>
          <w:color w:val="auto"/>
        </w:rPr>
        <w:t>We are subject to the periodic reporting requirements of the Exchange Act. As a result, 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As a result of becoming a public company, we will be required, in order to comply with the SEC’s rules and regulations, to furnish a report by management on, among other things, the effectiveness of our internal control over financial reporting.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18" w:lineRule="exact"/>
        <w:rPr>
          <w:sz w:val="20"/>
          <w:szCs w:val="20"/>
          <w:color w:val="auto"/>
        </w:rPr>
      </w:pPr>
    </w:p>
    <w:p>
      <w:pPr>
        <w:ind w:right="60" w:firstLine="309"/>
        <w:spacing w:after="0" w:line="349" w:lineRule="auto"/>
        <w:rPr>
          <w:sz w:val="20"/>
          <w:szCs w:val="20"/>
          <w:color w:val="auto"/>
        </w:rPr>
      </w:pPr>
      <w:r>
        <w:rPr>
          <w:rFonts w:ascii="Arial" w:cs="Arial" w:eastAsia="Arial" w:hAnsi="Arial"/>
          <w:sz w:val="15"/>
          <w:szCs w:val="15"/>
          <w:color w:val="auto"/>
        </w:rPr>
        <w:t>If we are not able to maintain adequate internal control over financial reporting, or if we identify material weaknesses in future periods, we may not be able to produce timely or accurate financial statements, investors may lose confidence in our operating results, and the trading price of our common stock could decline.</w:t>
      </w:r>
    </w:p>
    <w:p>
      <w:pPr>
        <w:spacing w:after="0" w:line="66"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Until December 31, 2022, we were eligible for reduced reporting and disclosure requirements as an “emerging growth company.” We are no longer an “emerging growth company” and have had to expend, and will need to continue to expend, additional resources and management time in order to comply with the disclosure obligations and requirements that were not applicable to us as an emerging growth company.</w:t>
      </w:r>
    </w:p>
    <w:p>
      <w:pPr>
        <w:spacing w:after="0" w:line="124" w:lineRule="exact"/>
        <w:rPr>
          <w:sz w:val="20"/>
          <w:szCs w:val="20"/>
          <w:color w:val="auto"/>
        </w:rPr>
      </w:pPr>
    </w:p>
    <w:p>
      <w:pPr>
        <w:jc w:val="both"/>
        <w:ind w:right="620"/>
        <w:spacing w:after="0" w:line="266" w:lineRule="auto"/>
        <w:rPr>
          <w:sz w:val="20"/>
          <w:szCs w:val="20"/>
          <w:color w:val="auto"/>
        </w:rPr>
      </w:pPr>
      <w:r>
        <w:rPr>
          <w:rFonts w:ascii="Arial" w:cs="Arial" w:eastAsia="Arial" w:hAnsi="Arial"/>
          <w:sz w:val="17"/>
          <w:szCs w:val="17"/>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124" w:lineRule="exact"/>
        <w:rPr>
          <w:sz w:val="20"/>
          <w:szCs w:val="20"/>
          <w:color w:val="auto"/>
        </w:rPr>
      </w:pPr>
    </w:p>
    <w:p>
      <w:pPr>
        <w:ind w:right="40" w:firstLine="309"/>
        <w:spacing w:after="0" w:line="256" w:lineRule="auto"/>
        <w:rPr>
          <w:sz w:val="20"/>
          <w:szCs w:val="20"/>
          <w:color w:val="auto"/>
        </w:rPr>
      </w:pPr>
      <w:r>
        <w:rPr>
          <w:rFonts w:ascii="Arial" w:cs="Arial" w:eastAsia="Arial" w:hAnsi="Arial"/>
          <w:sz w:val="17"/>
          <w:szCs w:val="17"/>
          <w:color w:val="auto"/>
        </w:rPr>
        <w:t>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165"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Wall Street Reform and Consumer Protection Act, or the Dodd-Frank Act, the listing requirements of The Nasdaq Stock Market,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also need to hire additional employees or engage outside consultants to comply with these requirements, which will increase our costs and expenses.</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40" w:firstLine="309"/>
        <w:spacing w:after="0" w:line="295" w:lineRule="auto"/>
        <w:rPr>
          <w:sz w:val="20"/>
          <w:szCs w:val="20"/>
          <w:color w:val="auto"/>
        </w:rPr>
      </w:pPr>
      <w:r>
        <w:rPr>
          <w:rFonts w:ascii="Arial" w:cs="Arial" w:eastAsia="Arial" w:hAnsi="Arial"/>
          <w:sz w:val="15"/>
          <w:szCs w:val="15"/>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09" w:lineRule="exact"/>
        <w:rPr>
          <w:sz w:val="20"/>
          <w:szCs w:val="20"/>
          <w:color w:val="auto"/>
        </w:rPr>
      </w:pPr>
    </w:p>
    <w:p>
      <w:pPr>
        <w:jc w:val="both"/>
        <w:ind w:right="120" w:firstLine="309"/>
        <w:spacing w:after="0" w:line="290" w:lineRule="auto"/>
        <w:rPr>
          <w:sz w:val="20"/>
          <w:szCs w:val="20"/>
          <w:color w:val="auto"/>
        </w:rPr>
      </w:pPr>
      <w:r>
        <w:rPr>
          <w:rFonts w:ascii="Arial" w:cs="Arial" w:eastAsia="Arial" w:hAnsi="Arial"/>
          <w:sz w:val="16"/>
          <w:szCs w:val="16"/>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w:t>
      </w:r>
    </w:p>
    <w:p>
      <w:pPr>
        <w:spacing w:after="0" w:line="107" w:lineRule="exact"/>
        <w:rPr>
          <w:sz w:val="20"/>
          <w:szCs w:val="20"/>
          <w:color w:val="auto"/>
        </w:rPr>
      </w:pPr>
    </w:p>
    <w:p>
      <w:pPr>
        <w:ind w:right="20" w:firstLine="309"/>
        <w:spacing w:after="0" w:line="262" w:lineRule="auto"/>
        <w:rPr>
          <w:sz w:val="20"/>
          <w:szCs w:val="20"/>
          <w:color w:val="auto"/>
        </w:rPr>
      </w:pPr>
      <w:r>
        <w:rPr>
          <w:rFonts w:ascii="Arial" w:cs="Arial" w:eastAsia="Arial" w:hAnsi="Arial"/>
          <w:sz w:val="17"/>
          <w:szCs w:val="17"/>
          <w:color w:val="auto"/>
        </w:rPr>
        <w:t>By disclosing information in this Annual Report on Form 10-K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 and other legal proceedings may adversely affect our business.</w:t>
      </w:r>
    </w:p>
    <w:p>
      <w:pPr>
        <w:spacing w:after="0" w:line="165" w:lineRule="exact"/>
        <w:rPr>
          <w:sz w:val="20"/>
          <w:szCs w:val="20"/>
          <w:color w:val="auto"/>
        </w:rPr>
      </w:pPr>
    </w:p>
    <w:p>
      <w:pPr>
        <w:ind w:firstLine="309"/>
        <w:spacing w:after="0" w:line="256" w:lineRule="auto"/>
        <w:rPr>
          <w:sz w:val="20"/>
          <w:szCs w:val="20"/>
          <w:color w:val="auto"/>
        </w:rPr>
      </w:pPr>
      <w:r>
        <w:rPr>
          <w:rFonts w:ascii="Arial" w:cs="Arial" w:eastAsia="Arial" w:hAnsi="Arial"/>
          <w:sz w:val="17"/>
          <w:szCs w:val="17"/>
          <w:color w:val="auto"/>
        </w:rPr>
        <w:t>From time-to-time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AquaBeam Robotic System, even if the regulatory or legal action is unfounded or not material to our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economic and financial market conditions may exacerbate our business risks.</w:t>
      </w:r>
    </w:p>
    <w:p>
      <w:pPr>
        <w:spacing w:after="0" w:line="230" w:lineRule="exact"/>
        <w:rPr>
          <w:sz w:val="20"/>
          <w:szCs w:val="20"/>
          <w:color w:val="auto"/>
        </w:rPr>
      </w:pPr>
    </w:p>
    <w:p>
      <w:pPr>
        <w:ind w:right="100" w:firstLine="309"/>
        <w:spacing w:after="0" w:line="244" w:lineRule="auto"/>
        <w:rPr>
          <w:sz w:val="20"/>
          <w:szCs w:val="20"/>
          <w:color w:val="auto"/>
        </w:rPr>
      </w:pPr>
      <w:r>
        <w:rPr>
          <w:rFonts w:ascii="Arial" w:cs="Arial" w:eastAsia="Arial" w:hAnsi="Arial"/>
          <w:sz w:val="17"/>
          <w:szCs w:val="17"/>
          <w:color w:val="auto"/>
        </w:rPr>
        <w:t>Global macroeconomic conditions and the world’s financial markets remain susceptible to significant stresses, including from inflation and central bank policies among other sources. Such stresses may result in reductions in available credit and government spending, economic downturn or stagnation, foreign currency fluctuations and volatility in the valuations of securities generally. Our customers and distributors may respond to such economic pressures by reducing or deferring their capital spending or reducing staff. Furthermore, unfavorable changes in foreign exchange rates versus the U.S. dollar could increase our product and labor costs, thus reducing our gross profit.</w:t>
      </w:r>
    </w:p>
    <w:p>
      <w:pPr>
        <w:spacing w:after="0" w:line="141" w:lineRule="exact"/>
        <w:rPr>
          <w:sz w:val="20"/>
          <w:szCs w:val="20"/>
          <w:color w:val="auto"/>
        </w:rPr>
      </w:pPr>
    </w:p>
    <w:p>
      <w:pPr>
        <w:ind w:right="140"/>
        <w:spacing w:after="0" w:line="391" w:lineRule="auto"/>
        <w:rPr>
          <w:sz w:val="20"/>
          <w:szCs w:val="20"/>
          <w:color w:val="auto"/>
        </w:rPr>
      </w:pPr>
      <w:r>
        <w:rPr>
          <w:rFonts w:ascii="Arial" w:cs="Arial" w:eastAsia="Arial" w:hAnsi="Arial"/>
          <w:sz w:val="14"/>
          <w:szCs w:val="14"/>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43" w:lineRule="exact"/>
        <w:rPr>
          <w:sz w:val="20"/>
          <w:szCs w:val="20"/>
          <w:color w:val="auto"/>
        </w:rPr>
      </w:pPr>
    </w:p>
    <w:p>
      <w:pPr>
        <w:ind w:right="120" w:firstLine="309"/>
        <w:spacing w:after="0" w:line="259" w:lineRule="auto"/>
        <w:rPr>
          <w:sz w:val="20"/>
          <w:szCs w:val="20"/>
          <w:color w:val="auto"/>
        </w:rPr>
      </w:pPr>
      <w:r>
        <w:rPr>
          <w:rFonts w:ascii="Arial" w:cs="Arial" w:eastAsia="Arial" w:hAnsi="Arial"/>
          <w:sz w:val="17"/>
          <w:szCs w:val="17"/>
          <w:color w:val="auto"/>
        </w:rPr>
        <w:t>The trading market for our common stock will be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b w:val="1"/>
          <w:bCs w:val="1"/>
          <w:i w:val="1"/>
          <w:iCs w:val="1"/>
          <w:color w:val="auto"/>
        </w:rPr>
        <w:t>The increasing focus on environmental sustainability and social initiatives could increase our costs, harm our reputation and adversely impact our financial results.</w:t>
      </w:r>
    </w:p>
    <w:p>
      <w:pPr>
        <w:spacing w:after="0" w:line="202"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There has been increasing public focus by investors, customers, environmental activists, the media, and governmental and nongovernmental organizations on a variety of environmental, social and other sustainability matters. We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w:t>
      </w:r>
    </w:p>
    <w:p>
      <w:pPr>
        <w:spacing w:after="0" w:line="209" w:lineRule="exact"/>
        <w:rPr>
          <w:sz w:val="20"/>
          <w:szCs w:val="20"/>
          <w:color w:val="auto"/>
        </w:rPr>
      </w:pPr>
    </w:p>
    <w:p>
      <w:pPr>
        <w:jc w:val="both"/>
        <w:ind w:right="160" w:firstLine="309"/>
        <w:spacing w:after="0" w:line="266" w:lineRule="auto"/>
        <w:rPr>
          <w:sz w:val="20"/>
          <w:szCs w:val="20"/>
          <w:color w:val="auto"/>
        </w:rPr>
      </w:pPr>
      <w:r>
        <w:rPr>
          <w:rFonts w:ascii="Arial" w:cs="Arial" w:eastAsia="Arial" w:hAnsi="Arial"/>
          <w:sz w:val="17"/>
          <w:szCs w:val="17"/>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1" w:lineRule="exact"/>
        <w:rPr>
          <w:sz w:val="20"/>
          <w:szCs w:val="20"/>
          <w:color w:val="auto"/>
        </w:rPr>
      </w:pPr>
    </w:p>
    <w:p>
      <w:pPr>
        <w:ind w:right="180" w:firstLine="309"/>
        <w:spacing w:after="0" w:line="266" w:lineRule="auto"/>
        <w:rPr>
          <w:sz w:val="20"/>
          <w:szCs w:val="20"/>
          <w:color w:val="auto"/>
        </w:rPr>
      </w:pPr>
      <w:r>
        <w:rPr>
          <w:rFonts w:ascii="Arial" w:cs="Arial" w:eastAsia="Arial" w:hAnsi="Arial"/>
          <w:sz w:val="17"/>
          <w:szCs w:val="17"/>
          <w:color w:val="auto"/>
        </w:rPr>
        <w:t>Our principal office is located at 900 Island Drive, Redwood City, California, where we lease approximately 43,485 square feet of office space. In January 2023, we entered into an amendment to this lease that lease of 19,807 square feet of office space terminated on October 29, 2023, and lease of remaining 23,638 square feet is extended to terminate no later than January 31, 2024.</w:t>
      </w:r>
    </w:p>
    <w:p>
      <w:pPr>
        <w:spacing w:after="0" w:line="124"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On December 31, 2021, we entered into a lease for two existing buildings, comprising approximately 158,221 square feet of space, located in San Jose,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California. The lease commenced in July 2022, and will continue for 122 months following thereafter, with two five year options to extend the term of the lease.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We intend to relocate our operations to the facility in San Jose prior to the end of the term of the lease for our facility in Redwood City, California.</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Matters</w:t>
      </w:r>
    </w:p>
    <w:p>
      <w:pPr>
        <w:spacing w:after="0" w:line="171" w:lineRule="exact"/>
        <w:rPr>
          <w:sz w:val="20"/>
          <w:szCs w:val="20"/>
          <w:color w:val="auto"/>
        </w:rPr>
      </w:pPr>
    </w:p>
    <w:p>
      <w:pPr>
        <w:ind w:right="420" w:firstLine="309"/>
        <w:spacing w:after="0" w:line="318" w:lineRule="auto"/>
        <w:rPr>
          <w:sz w:val="20"/>
          <w:szCs w:val="20"/>
          <w:color w:val="auto"/>
        </w:rPr>
      </w:pPr>
      <w:r>
        <w:rPr>
          <w:rFonts w:ascii="Arial" w:cs="Arial" w:eastAsia="Arial" w:hAnsi="Arial"/>
          <w:sz w:val="15"/>
          <w:szCs w:val="15"/>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 harm, and other factors.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 Purchases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71" w:lineRule="exact"/>
        <w:rPr>
          <w:sz w:val="20"/>
          <w:szCs w:val="20"/>
          <w:color w:val="auto"/>
        </w:rPr>
      </w:pPr>
    </w:p>
    <w:p>
      <w:pPr>
        <w:ind w:right="120" w:firstLine="309"/>
        <w:spacing w:after="0" w:line="279" w:lineRule="auto"/>
        <w:rPr>
          <w:sz w:val="20"/>
          <w:szCs w:val="20"/>
          <w:color w:val="auto"/>
        </w:rPr>
      </w:pPr>
      <w:r>
        <w:rPr>
          <w:rFonts w:ascii="Arial" w:cs="Arial" w:eastAsia="Arial" w:hAnsi="Arial"/>
          <w:sz w:val="17"/>
          <w:szCs w:val="17"/>
          <w:color w:val="auto"/>
        </w:rPr>
        <w:t>Our common stock has been listed on the Nasdaq Global Select Market under the symbol “PRCT” since September 14, 2021. Prior to that date, there was no public trading market for our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171" w:lineRule="exact"/>
        <w:rPr>
          <w:sz w:val="20"/>
          <w:szCs w:val="20"/>
          <w:color w:val="auto"/>
        </w:rPr>
      </w:pPr>
    </w:p>
    <w:p>
      <w:pPr>
        <w:ind w:right="380" w:firstLine="309"/>
        <w:spacing w:after="0" w:line="312" w:lineRule="auto"/>
        <w:rPr>
          <w:sz w:val="20"/>
          <w:szCs w:val="20"/>
          <w:color w:val="auto"/>
        </w:rPr>
      </w:pPr>
      <w:r>
        <w:rPr>
          <w:rFonts w:ascii="Arial" w:cs="Arial" w:eastAsia="Arial" w:hAnsi="Arial"/>
          <w:sz w:val="16"/>
          <w:szCs w:val="16"/>
          <w:color w:val="auto"/>
        </w:rPr>
        <w:t>As of February 23, 2022, there were 176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71" w:lineRule="exact"/>
        <w:rPr>
          <w:sz w:val="20"/>
          <w:szCs w:val="20"/>
          <w:color w:val="auto"/>
        </w:rPr>
      </w:pPr>
    </w:p>
    <w:p>
      <w:pPr>
        <w:ind w:right="60" w:firstLine="309"/>
        <w:spacing w:after="0" w:line="299" w:lineRule="auto"/>
        <w:rPr>
          <w:sz w:val="20"/>
          <w:szCs w:val="20"/>
          <w:color w:val="auto"/>
        </w:rPr>
      </w:pPr>
      <w:r>
        <w:rPr>
          <w:rFonts w:ascii="Arial" w:cs="Arial" w:eastAsia="Arial" w:hAnsi="Arial"/>
          <w:sz w:val="15"/>
          <w:szCs w:val="15"/>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loan and security agreement with Canadian Imperial Bank of Commerce. Our ability to pay cash dividends on our capital stock in the future may also be limited by the terms of any preferred securities we may issue or agreements governing any additional indebtedness we may incur.</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71" w:lineRule="exact"/>
        <w:rPr>
          <w:sz w:val="20"/>
          <w:szCs w:val="20"/>
          <w:color w:val="auto"/>
        </w:rPr>
      </w:pPr>
    </w:p>
    <w:p>
      <w:pPr>
        <w:ind w:right="40" w:firstLine="309"/>
        <w:spacing w:after="0" w:line="312" w:lineRule="auto"/>
        <w:rPr>
          <w:sz w:val="20"/>
          <w:szCs w:val="20"/>
          <w:color w:val="auto"/>
        </w:rPr>
      </w:pPr>
      <w:r>
        <w:rPr>
          <w:rFonts w:ascii="Arial" w:cs="Arial" w:eastAsia="Arial" w:hAnsi="Arial"/>
          <w:sz w:val="16"/>
          <w:szCs w:val="16"/>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89" w:lineRule="exact"/>
        <w:rPr>
          <w:sz w:val="20"/>
          <w:szCs w:val="20"/>
          <w:color w:val="auto"/>
        </w:rPr>
      </w:pPr>
    </w:p>
    <w:p>
      <w:pPr>
        <w:ind w:firstLine="309"/>
        <w:spacing w:after="0" w:line="290" w:lineRule="auto"/>
        <w:rPr>
          <w:sz w:val="20"/>
          <w:szCs w:val="20"/>
          <w:color w:val="auto"/>
        </w:rPr>
      </w:pPr>
      <w:r>
        <w:rPr>
          <w:rFonts w:ascii="Arial" w:cs="Arial" w:eastAsia="Arial" w:hAnsi="Arial"/>
          <w:sz w:val="16"/>
          <w:szCs w:val="16"/>
          <w:color w:val="auto"/>
        </w:rPr>
        <w:t>This chart compares the cumulative total return on our common stock with that of the NASDAQ Composite Index and the S&amp;P Health Care Equipment Index. The graph assumes $100 was invested in each of the Company’s common stock, the NASDAQ Composite Index and the S&amp;P Health Care Equipment Index, and assumes reinvestment of any dividends. Note that historic stock price performance is not necessarily indicative of future stock price performance.</w:t>
      </w:r>
    </w:p>
    <w:p>
      <w:pPr>
        <w:spacing w:after="0" w:line="200" w:lineRule="exact"/>
        <w:rPr>
          <w:sz w:val="20"/>
          <w:szCs w:val="20"/>
          <w:color w:val="auto"/>
        </w:rPr>
      </w:pPr>
    </w:p>
    <w:p>
      <w:pPr>
        <w:spacing w:after="0" w:line="319"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473075</wp:posOffset>
            </wp:positionV>
            <wp:extent cx="5206365" cy="41262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06365" cy="412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427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282" w:right="1440"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1"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together with our financial statements and related notes are included elsewhere in this report.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the section titled “Risk Factors” and elsewhere in this report. Please also see the section titled “Cautionary Note Regarding Forward-Looking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1" w:lineRule="exact"/>
        <w:rPr>
          <w:sz w:val="20"/>
          <w:szCs w:val="20"/>
          <w:color w:val="auto"/>
        </w:rPr>
      </w:pPr>
    </w:p>
    <w:p>
      <w:pPr>
        <w:ind w:firstLine="309"/>
        <w:spacing w:after="0" w:line="273" w:lineRule="auto"/>
        <w:rPr>
          <w:sz w:val="20"/>
          <w:szCs w:val="20"/>
          <w:color w:val="auto"/>
        </w:rPr>
      </w:pPr>
      <w:r>
        <w:rPr>
          <w:rFonts w:ascii="Arial" w:cs="Arial" w:eastAsia="Arial" w:hAnsi="Arial"/>
          <w:sz w:val="16"/>
          <w:szCs w:val="16"/>
          <w:color w:val="auto"/>
        </w:rPr>
        <w:t>We are a surgical robotics company focused on advancing patient care by developing transformative solutions in urology. We develop, manufacture and sell the AquaBeam Robotic System, an advanced, image-guided, surgical robotic system for use in minimally invasive urologic surgery, with an initial focus on treating benign prostatic hyperplasia, or BPH. BPH is the most common prostate disease and impacts approximately 40 million men in the United States. The AquaBeam Robotic System employs a single-use disposable handpiece to deliver our proprietary Aquablation therapy, which combines real-time, multi-dimensional imaging, personalized treatment planning, automated robotics and heat-free waterjet ablation for targeted and rapid removal of prostate tissue. We designed our AquaBeam Robotic System to enable consistent and reproducible BPH surgery outcomes. We believe that Aquablation therapy represents a paradigm shift in the surgical treatment of BPH by addressing compromises associated with alternative surgical interventions. We designed Aquablation therapy to deliver effective, safe and durable outcomes for males suffering from lower urinary tract symptoms, or LUTS, due to BPH that are independent of prostate size and shape, and delivers resection independent of surgeon experience. We have developed a significant and growing body of clinical evidence, which includes 150 peer-reviewed publications, supporting the benefits and clinical advantages of Aquablation therapy. As of December 31, 2022, we had an install base of 243 AquaBeam Robotic Systems globally, including 167 in the United States.</w:t>
      </w:r>
    </w:p>
    <w:p>
      <w:pPr>
        <w:spacing w:after="0" w:line="122" w:lineRule="exact"/>
        <w:rPr>
          <w:sz w:val="20"/>
          <w:szCs w:val="20"/>
          <w:color w:val="auto"/>
        </w:rPr>
      </w:pPr>
    </w:p>
    <w:p>
      <w:pPr>
        <w:ind w:firstLine="309"/>
        <w:spacing w:after="0" w:line="287" w:lineRule="auto"/>
        <w:rPr>
          <w:sz w:val="20"/>
          <w:szCs w:val="20"/>
          <w:color w:val="auto"/>
        </w:rPr>
      </w:pPr>
      <w:r>
        <w:rPr>
          <w:rFonts w:ascii="Arial" w:cs="Arial" w:eastAsia="Arial" w:hAnsi="Arial"/>
          <w:sz w:val="15"/>
          <w:szCs w:val="15"/>
          <w:color w:val="auto"/>
        </w:rPr>
        <w:t>Our U.S. pivotal trial, the WATER study, is the only FDA pivotal study randomized against transurethral resection of prostate, or TURP, which is the historical standard of care for the surgical treatment of BPH. In this study, Aquablation therapy demonstrated superior safety and non-inferior efficacy compared to TURP across prostate sizes between 30 ml and 80 ml, and superior efficacy in a subset of patients with prostates larger than 50 ml. We have established strong relationships with key opinion leaders, or KOLs, within the urology community and collaborated with key urological societies in global markets. This support has been instrumental in facilitating broader acceptance and adoption of Aquablation therapy. As a result of our strong KOL network and our compelling clinical evidence, Aquablation therapy has been added to clinical guidelines of various professional associations, including the American Urological Association.</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the United States, we sell our products to hospitals. We are initially targeting 860 high-volume hospitals that perform, on average, more than 200 resective procedures annually and account for approximately 70% of all hospital-based resective procedures. Additionally, there are approximately 1,840 U.S. hospitals that perform the remaining 30% of resective BPH procedures we are also targeting. Over time, we expect to gradually expand our focus to also include mid- and low-volume hospitals. These customers in turn bill various third-party payors, such as commercial payors and government agencies, for treatment payment of each patient. Effective in 2021, all local Medicare Administrative Contractors, or MACs, which represent 100% of eligible Medicare patients, issued final positive local coverage determinations to provide Medicare beneficiaries with access to Aquablation therapy in all 50 states. We also have favorable coverage decisions from many large commercial payors. We plan to leverage these recent successes in our active discussions with all commercial payors to establish additional positive national and regional coverage policies. Outside of the United States, we have ongoing efforts in key markets to expand established coverage and improve payment which we believe will expand patient access to Aquablation therapy.</w:t>
      </w:r>
    </w:p>
    <w:p>
      <w:pPr>
        <w:spacing w:after="0" w:line="136" w:lineRule="exact"/>
        <w:rPr>
          <w:sz w:val="20"/>
          <w:szCs w:val="20"/>
          <w:color w:val="auto"/>
        </w:rPr>
      </w:pPr>
    </w:p>
    <w:p>
      <w:pPr>
        <w:ind w:right="100" w:firstLine="309"/>
        <w:spacing w:after="0" w:line="259" w:lineRule="auto"/>
        <w:rPr>
          <w:sz w:val="20"/>
          <w:szCs w:val="20"/>
          <w:color w:val="auto"/>
        </w:rPr>
      </w:pPr>
      <w:r>
        <w:rPr>
          <w:rFonts w:ascii="Arial" w:cs="Arial" w:eastAsia="Arial" w:hAnsi="Arial"/>
          <w:sz w:val="17"/>
          <w:szCs w:val="17"/>
          <w:color w:val="auto"/>
        </w:rPr>
        <w:t>We manufacture the AquaBeam Robotic System, the handpiece, integrated scope and other accessories at our facility in Redwood City, California. This includes supporting the supply chain distribution and logistics of the various components. Components, sub-assemblies and services required to manufacture our products are purchased from numerous global suppliers. Each AquaBeam Robotic System is shipped to our customers with a third-party manufactured ultrasound system and probe. We utilize a well-known third-party logistics provider located in the United States and the Netherlands to ship our products to our customers globally.</w:t>
      </w:r>
    </w:p>
    <w:p>
      <w:pPr>
        <w:spacing w:after="0" w:line="131" w:lineRule="exact"/>
        <w:rPr>
          <w:sz w:val="20"/>
          <w:szCs w:val="20"/>
          <w:color w:val="auto"/>
        </w:rPr>
      </w:pPr>
    </w:p>
    <w:p>
      <w:pPr>
        <w:ind w:right="340" w:firstLine="309"/>
        <w:spacing w:after="0" w:line="266" w:lineRule="auto"/>
        <w:rPr>
          <w:sz w:val="20"/>
          <w:szCs w:val="20"/>
          <w:color w:val="auto"/>
        </w:rPr>
      </w:pPr>
      <w:r>
        <w:rPr>
          <w:rFonts w:ascii="Arial" w:cs="Arial" w:eastAsia="Arial" w:hAnsi="Arial"/>
          <w:sz w:val="17"/>
          <w:szCs w:val="17"/>
          <w:color w:val="auto"/>
        </w:rPr>
        <w:t>We generated revenue of $75.0 million and $34.5 million, for the years ended December 31, 2022 and 2021, respectively, and incurred a net loss of $87.2 million and $59.9 million for the years ended December 31, 2022 and 2021, respectively. As of December 31, 2022, we had an accumulated deficit of 348.7 million.</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Factors Affecting Our Performance</w:t>
      </w:r>
    </w:p>
    <w:p>
      <w:pPr>
        <w:spacing w:after="0" w:line="165" w:lineRule="exact"/>
        <w:rPr>
          <w:sz w:val="20"/>
          <w:szCs w:val="20"/>
          <w:color w:val="auto"/>
        </w:rPr>
      </w:pPr>
    </w:p>
    <w:p>
      <w:pPr>
        <w:jc w:val="both"/>
        <w:ind w:right="160" w:firstLine="309"/>
        <w:spacing w:after="0" w:line="266" w:lineRule="auto"/>
        <w:rPr>
          <w:sz w:val="20"/>
          <w:szCs w:val="20"/>
          <w:color w:val="auto"/>
        </w:rPr>
      </w:pPr>
      <w:r>
        <w:rPr>
          <w:rFonts w:ascii="Arial" w:cs="Arial" w:eastAsia="Arial" w:hAnsi="Arial"/>
          <w:sz w:val="17"/>
          <w:szCs w:val="17"/>
          <w:color w:val="auto"/>
        </w:rPr>
        <w:t>We believe there are several important factors that have impacted and that we expect will impact our operating performance and results of operations for the foreseeable future. While these factors may present significant opportunities for us, they also pose significant risks and challenges that we must address. See the section titled “Risk Factors” for more information. These factors include:</w:t>
      </w:r>
    </w:p>
    <w:p>
      <w:pPr>
        <w:spacing w:after="0" w:line="124" w:lineRule="exact"/>
        <w:rPr>
          <w:sz w:val="20"/>
          <w:szCs w:val="20"/>
          <w:color w:val="auto"/>
        </w:rPr>
      </w:pPr>
    </w:p>
    <w:p>
      <w:pPr>
        <w:ind w:left="620" w:right="80" w:hanging="307"/>
        <w:spacing w:after="0" w:line="295" w:lineRule="auto"/>
        <w:tabs>
          <w:tab w:leader="none" w:pos="616"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Grow our install base of AquaBeam Robotic Systems: </w:t>
      </w:r>
      <w:r>
        <w:rPr>
          <w:rFonts w:ascii="Arial" w:cs="Arial" w:eastAsia="Arial" w:hAnsi="Arial"/>
          <w:sz w:val="15"/>
          <w:szCs w:val="15"/>
          <w:color w:val="auto"/>
        </w:rPr>
        <w:t>As of December 31, 2022, we had an install base of 243 AquaBeam Robotic Systems globally,</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167 in the United States. In the United States, we are initially focused on driving adoption of Aquablation therapy among urologists that perform hospital-based resective BPH surgery. We are initially targeting 860 high-volume hospitals that we estimate perform, on average, more than 200 resective procedures annually and account for approximately 70% of all hospital-based resective procedures. Additionally, there are approximately 1,840 additional U.S. hospitals that perform the remaining 30% of resective BPH procedures that we are targeting. To penetrate these hospitals, we expect to continue to increase our direct team of capital sales representatives, who are focused on driving system placement within hospitals by engaging with key surgeons and decision makers to educate them about the compelling value proposition of Aquablation therapy. As we increase our install base of AquaBeam Robotic systems we expect our revenue to increase as a result of the system sale and resulting utilization.</w:t>
      </w:r>
    </w:p>
    <w:p>
      <w:pPr>
        <w:spacing w:after="0" w:line="108" w:lineRule="exact"/>
        <w:rPr>
          <w:rFonts w:ascii="Arial" w:cs="Arial" w:eastAsia="Arial" w:hAnsi="Arial"/>
          <w:sz w:val="15"/>
          <w:szCs w:val="15"/>
          <w:color w:val="auto"/>
        </w:rPr>
      </w:pPr>
    </w:p>
    <w:p>
      <w:pPr>
        <w:ind w:left="620" w:right="220" w:hanging="307"/>
        <w:spacing w:after="0" w:line="257" w:lineRule="auto"/>
        <w:tabs>
          <w:tab w:leader="none" w:pos="616"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Increase system utilization: </w:t>
      </w:r>
      <w:r>
        <w:rPr>
          <w:rFonts w:ascii="Arial" w:cs="Arial" w:eastAsia="Arial" w:hAnsi="Arial"/>
          <w:sz w:val="17"/>
          <w:szCs w:val="17"/>
          <w:color w:val="auto"/>
        </w:rPr>
        <w:t>Our revenue is significantly impacted by the utilization of our AquaBeam robotic system. Once we place a system within a</w:t>
      </w:r>
      <w:r>
        <w:rPr>
          <w:rFonts w:ascii="Arial" w:cs="Arial" w:eastAsia="Arial" w:hAnsi="Arial"/>
          <w:sz w:val="17"/>
          <w:szCs w:val="17"/>
          <w:i w:val="1"/>
          <w:iCs w:val="1"/>
          <w:color w:val="auto"/>
        </w:rPr>
        <w:t xml:space="preserve"> </w:t>
      </w:r>
      <w:r>
        <w:rPr>
          <w:rFonts w:ascii="Arial" w:cs="Arial" w:eastAsia="Arial" w:hAnsi="Arial"/>
          <w:sz w:val="17"/>
          <w:szCs w:val="17"/>
          <w:color w:val="auto"/>
        </w:rPr>
        <w:t>hospital our objective is to establish Aquablation therapy as the surgical treatment of choice for BPH. Within each hospital we are initially focused on targeting urologists who perform medium-to-high volumes of resective procedures and converting their resective cases to Aquablation therapy. To accomplish this, we will continue expanding our team of highly trained Aquablation representatives and clinical specialists who are focused on driving system utilization within the hospital, providing education and training support and ensuring excellent user experiences. As urologists gain experience with Aquablation therapy we expect to leverage their experiences to capture more surgical volumes and establish Aquablation therapy as the surgical standard of care.</w:t>
      </w:r>
    </w:p>
    <w:p>
      <w:pPr>
        <w:spacing w:after="0" w:line="133" w:lineRule="exact"/>
        <w:rPr>
          <w:rFonts w:ascii="Arial" w:cs="Arial" w:eastAsia="Arial" w:hAnsi="Arial"/>
          <w:sz w:val="17"/>
          <w:szCs w:val="17"/>
          <w:color w:val="auto"/>
        </w:rPr>
      </w:pPr>
    </w:p>
    <w:p>
      <w:pPr>
        <w:jc w:val="both"/>
        <w:ind w:left="620" w:right="140" w:hanging="307"/>
        <w:spacing w:after="0" w:line="292" w:lineRule="auto"/>
        <w:tabs>
          <w:tab w:leader="none" w:pos="616"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Reimbursement and coverage decisions by third-party payors. </w:t>
      </w:r>
      <w:r>
        <w:rPr>
          <w:rFonts w:ascii="Arial" w:cs="Arial" w:eastAsia="Arial" w:hAnsi="Arial"/>
          <w:sz w:val="15"/>
          <w:szCs w:val="15"/>
          <w:color w:val="auto"/>
        </w:rPr>
        <w:t>Healthcare providers in the United States generally rely on third-party payors, principally</w:t>
      </w:r>
      <w:r>
        <w:rPr>
          <w:rFonts w:ascii="Arial" w:cs="Arial" w:eastAsia="Arial" w:hAnsi="Arial"/>
          <w:sz w:val="15"/>
          <w:szCs w:val="15"/>
          <w:i w:val="1"/>
          <w:iCs w:val="1"/>
          <w:color w:val="auto"/>
        </w:rPr>
        <w:t xml:space="preserve"> </w:t>
      </w:r>
      <w:r>
        <w:rPr>
          <w:rFonts w:ascii="Arial" w:cs="Arial" w:eastAsia="Arial" w:hAnsi="Arial"/>
          <w:sz w:val="15"/>
          <w:szCs w:val="15"/>
          <w:color w:val="auto"/>
        </w:rPr>
        <w:t>federal Medicare, state Medicaid and private health insurance plans, to cover all or part of the cost of procedures using our AquaBeam Robotic System. The revenue we are able to generate from sales of our products depends in large part on the availability of sufficient reimbursement from such payors.</w:t>
      </w:r>
    </w:p>
    <w:p>
      <w:pPr>
        <w:ind w:left="620" w:right="100"/>
        <w:spacing w:after="0" w:line="273" w:lineRule="auto"/>
        <w:rPr>
          <w:rFonts w:ascii="Arial" w:cs="Arial" w:eastAsia="Arial" w:hAnsi="Arial"/>
          <w:sz w:val="15"/>
          <w:szCs w:val="15"/>
          <w:color w:val="auto"/>
        </w:rPr>
      </w:pPr>
      <w:r>
        <w:rPr>
          <w:rFonts w:ascii="Arial" w:cs="Arial" w:eastAsia="Arial" w:hAnsi="Arial"/>
          <w:sz w:val="16"/>
          <w:szCs w:val="16"/>
          <w:color w:val="auto"/>
        </w:rPr>
        <w:t>Effective in 2021, all local MACs, representing 100% of eligible Medicare patients, issued final positive local coverage determinations to provide Medicare beneficiaries with access to Aquablation therapy in all 50 states. We believe that these favorable coverage decisions have been a catalyst for hospital adoption of our AquaBeam Robotic System. We believe our strong body of clinical evidence and support from key societies, supplemented by the momentum from Medicare coverage, have led to favorable coverage decisions from many large commercial payors. We plan to leverage these recent successes in our active discussions with commercial payors to establish additional positive national and regional coverage policies. We believe that additional commercial payor coverage will contribute to increasing utilization of our system over time. Outside of the United States, we have ongoing efforts in key markets to expand established coverage and further improve patient access to Aquablation therapy.</w:t>
      </w:r>
    </w:p>
    <w:p>
      <w:pPr>
        <w:spacing w:after="0" w:line="122" w:lineRule="exact"/>
        <w:rPr>
          <w:rFonts w:ascii="Arial" w:cs="Arial" w:eastAsia="Arial" w:hAnsi="Arial"/>
          <w:sz w:val="15"/>
          <w:szCs w:val="15"/>
          <w:color w:val="auto"/>
        </w:rPr>
      </w:pPr>
    </w:p>
    <w:p>
      <w:pPr>
        <w:ind w:left="620" w:hanging="307"/>
        <w:spacing w:after="0" w:line="307" w:lineRule="auto"/>
        <w:tabs>
          <w:tab w:leader="none" w:pos="616"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Cost of sales. </w:t>
      </w:r>
      <w:r>
        <w:rPr>
          <w:rFonts w:ascii="Arial" w:cs="Arial" w:eastAsia="Arial" w:hAnsi="Arial"/>
          <w:sz w:val="15"/>
          <w:szCs w:val="15"/>
          <w:color w:val="auto"/>
        </w:rPr>
        <w:t>The results of our operations will depend, in part, on our ability to increase our gross margins by more effectively managing our costs to</w:t>
      </w:r>
      <w:r>
        <w:rPr>
          <w:rFonts w:ascii="Arial" w:cs="Arial" w:eastAsia="Arial" w:hAnsi="Arial"/>
          <w:sz w:val="15"/>
          <w:szCs w:val="15"/>
          <w:i w:val="1"/>
          <w:iCs w:val="1"/>
          <w:color w:val="auto"/>
        </w:rPr>
        <w:t xml:space="preserve"> </w:t>
      </w:r>
      <w:r>
        <w:rPr>
          <w:rFonts w:ascii="Arial" w:cs="Arial" w:eastAsia="Arial" w:hAnsi="Arial"/>
          <w:sz w:val="15"/>
          <w:szCs w:val="15"/>
          <w:color w:val="auto"/>
        </w:rPr>
        <w:t>produce our AquaBeam Robotic System and single-use disposable handpieces, and to scale our manufacturing operations efficiently. We anticipate that as we expand our sales and marketing efforts and drive further sales growth, our purchasing costs on a per unit basis may decrease, and in turn improve our gross margin. As our commercial operations continue to grow, we expect to continue to realize operating leverage through increased scale efficiencies.</w:t>
      </w:r>
    </w:p>
    <w:p>
      <w:pPr>
        <w:spacing w:after="0" w:line="97" w:lineRule="exact"/>
        <w:rPr>
          <w:rFonts w:ascii="Arial" w:cs="Arial" w:eastAsia="Arial" w:hAnsi="Arial"/>
          <w:sz w:val="15"/>
          <w:szCs w:val="15"/>
          <w:color w:val="auto"/>
        </w:rPr>
      </w:pPr>
    </w:p>
    <w:p>
      <w:pPr>
        <w:ind w:left="620" w:right="60" w:hanging="307"/>
        <w:spacing w:after="0" w:line="302" w:lineRule="auto"/>
        <w:tabs>
          <w:tab w:leader="none" w:pos="616" w:val="left"/>
        </w:tabs>
        <w:numPr>
          <w:ilvl w:val="0"/>
          <w:numId w:val="62"/>
        </w:numPr>
        <w:rPr>
          <w:rFonts w:ascii="Arial" w:cs="Arial" w:eastAsia="Arial" w:hAnsi="Arial"/>
          <w:sz w:val="15"/>
          <w:szCs w:val="15"/>
          <w:color w:val="auto"/>
        </w:rPr>
      </w:pPr>
      <w:r>
        <w:rPr>
          <w:rFonts w:ascii="Arial" w:cs="Arial" w:eastAsia="Arial" w:hAnsi="Arial"/>
          <w:sz w:val="15"/>
          <w:szCs w:val="15"/>
          <w:i w:val="1"/>
          <w:iCs w:val="1"/>
          <w:color w:val="auto"/>
        </w:rPr>
        <w:t xml:space="preserve">Investment in research and development to drive continuous improvements and innovation. </w:t>
      </w:r>
      <w:r>
        <w:rPr>
          <w:rFonts w:ascii="Arial" w:cs="Arial" w:eastAsia="Arial" w:hAnsi="Arial"/>
          <w:sz w:val="15"/>
          <w:szCs w:val="15"/>
          <w:color w:val="auto"/>
        </w:rPr>
        <w:t>We are currently developing additional and next generation</w:t>
      </w:r>
      <w:r>
        <w:rPr>
          <w:rFonts w:ascii="Arial" w:cs="Arial" w:eastAsia="Arial" w:hAnsi="Arial"/>
          <w:sz w:val="15"/>
          <w:szCs w:val="15"/>
          <w:i w:val="1"/>
          <w:iCs w:val="1"/>
          <w:color w:val="auto"/>
        </w:rPr>
        <w:t xml:space="preserve"> </w:t>
      </w:r>
      <w:r>
        <w:rPr>
          <w:rFonts w:ascii="Arial" w:cs="Arial" w:eastAsia="Arial" w:hAnsi="Arial"/>
          <w:sz w:val="15"/>
          <w:szCs w:val="15"/>
          <w:color w:val="auto"/>
        </w:rPr>
        <w:t>technologies to support and improve Aquablation therapy to further satisfy the evolving needs of surgeons and their patients as well as to further enhance the usability and scalability of the AquaBeam Robotic System. We also plan to leverage our treatment data and software development capabilities to integrate artificial intelligence and machine learning to enable computer-assisted anatomy recognition and improved treatment planning and personalization. Our future growth is dependent on these continuous improvements which require significant resources and investment.</w:t>
      </w: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the COVID-19 Pandemic</w:t>
      </w:r>
    </w:p>
    <w:p>
      <w:pPr>
        <w:spacing w:after="0" w:line="165" w:lineRule="exact"/>
        <w:rPr>
          <w:sz w:val="20"/>
          <w:szCs w:val="20"/>
          <w:color w:val="auto"/>
        </w:rPr>
      </w:pPr>
    </w:p>
    <w:p>
      <w:pPr>
        <w:ind w:right="180" w:firstLine="309"/>
        <w:spacing w:after="0" w:line="259" w:lineRule="auto"/>
        <w:rPr>
          <w:sz w:val="20"/>
          <w:szCs w:val="20"/>
          <w:color w:val="auto"/>
        </w:rPr>
      </w:pPr>
      <w:r>
        <w:rPr>
          <w:rFonts w:ascii="Arial" w:cs="Arial" w:eastAsia="Arial" w:hAnsi="Arial"/>
          <w:sz w:val="17"/>
          <w:szCs w:val="17"/>
          <w:color w:val="auto"/>
        </w:rPr>
        <w:t>At the height of the COVID-19 pandemic, governmental authorities had recommended, and in certain cases required, that elective, specialty and other procedures and appointments be suspended or canceled to avoid non-essential patient exposure to medical environments and potential infection with COVID-19 and to focus limited resources and personnel capacity toward the treatment of COVID-19. These measures and challenges had decreased the number of BPH procedures generally, and consequently could have slowed adoption of our AquaBeam therapy and may have impacted our ability to sell our AquaBeam Robotic System.</w:t>
      </w:r>
    </w:p>
    <w:p>
      <w:pPr>
        <w:spacing w:after="0" w:line="131" w:lineRule="exact"/>
        <w:rPr>
          <w:sz w:val="20"/>
          <w:szCs w:val="20"/>
          <w:color w:val="auto"/>
        </w:rPr>
      </w:pPr>
    </w:p>
    <w:p>
      <w:pPr>
        <w:ind w:right="240" w:firstLine="309"/>
        <w:spacing w:after="0" w:line="290" w:lineRule="auto"/>
        <w:rPr>
          <w:sz w:val="20"/>
          <w:szCs w:val="20"/>
          <w:color w:val="auto"/>
        </w:rPr>
      </w:pPr>
      <w:r>
        <w:rPr>
          <w:rFonts w:ascii="Arial" w:cs="Arial" w:eastAsia="Arial" w:hAnsi="Arial"/>
          <w:sz w:val="16"/>
          <w:szCs w:val="16"/>
          <w:color w:val="auto"/>
        </w:rPr>
        <w:t>While many restrictions associated with COVID-19 have more recently been relaxed, the longevity and extent of the various COVID-19 pandemic remains uncertain, including due to the emergence and impact of the COVID-19 variants and continued economic disruptions. These measures and challenges may continue for the duration of the pandemic and may negatively impact our revenue growth while the pandemic continues.</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65" w:lineRule="exact"/>
        <w:rPr>
          <w:sz w:val="20"/>
          <w:szCs w:val="20"/>
          <w:color w:val="auto"/>
        </w:rPr>
      </w:pPr>
    </w:p>
    <w:p>
      <w:pPr>
        <w:ind w:right="60" w:firstLine="309"/>
        <w:spacing w:after="0" w:line="259" w:lineRule="auto"/>
        <w:rPr>
          <w:sz w:val="20"/>
          <w:szCs w:val="20"/>
          <w:color w:val="auto"/>
        </w:rPr>
      </w:pPr>
      <w:r>
        <w:rPr>
          <w:rFonts w:ascii="Arial" w:cs="Arial" w:eastAsia="Arial" w:hAnsi="Arial"/>
          <w:sz w:val="17"/>
          <w:szCs w:val="17"/>
          <w:color w:val="auto"/>
        </w:rPr>
        <w:t>We generate our revenue primarily from the capital portion of our business, which includes sales and rentals of our AquaBeam Robotic System, and from the recurring revenue associated with sales of our single-use disposable handpieces that are used during each surgery performed with our system. Other revenue is derived primarily from service and repair and extended service contracts with our existing customers. We expect our revenue to increase in absolute dollars for the foreseeable future as we continue to focus on driving adoption of Aquablation therapy, and increased system utilization, though it may fluctuate from quarter to quarter.</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revenue by significant geographical locations for the periods indicated:</w:t>
      </w:r>
    </w:p>
    <w:p>
      <w:pPr>
        <w:spacing w:after="0" w:line="194"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8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r>
      <w:tr>
        <w:trPr>
          <w:trHeight w:val="219"/>
        </w:trPr>
        <w:tc>
          <w:tcPr>
            <w:tcW w:w="90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84 %</w:t>
            </w:r>
          </w:p>
        </w:tc>
      </w:tr>
      <w:tr>
        <w:trPr>
          <w:trHeight w:val="218"/>
        </w:trPr>
        <w:tc>
          <w:tcPr>
            <w:tcW w:w="9040" w:type="dxa"/>
            <w:vAlign w:val="bottom"/>
            <w:gridSpan w:val="3"/>
          </w:tcPr>
          <w:p>
            <w:pPr>
              <w:ind w:left="20"/>
              <w:spacing w:after="0"/>
              <w:rPr>
                <w:sz w:val="20"/>
                <w:szCs w:val="20"/>
                <w:color w:val="auto"/>
              </w:rPr>
            </w:pPr>
            <w:r>
              <w:rPr>
                <w:rFonts w:ascii="Arial" w:cs="Arial" w:eastAsia="Arial" w:hAnsi="Arial"/>
                <w:sz w:val="17"/>
                <w:szCs w:val="17"/>
                <w:color w:val="auto"/>
              </w:rPr>
              <w:t>Outside the United States</w:t>
            </w:r>
          </w:p>
        </w:tc>
        <w:tc>
          <w:tcPr>
            <w:tcW w:w="520" w:type="dxa"/>
            <w:vAlign w:val="bottom"/>
          </w:tcPr>
          <w:p>
            <w:pPr>
              <w:jc w:val="right"/>
              <w:spacing w:after="0"/>
              <w:rPr>
                <w:sz w:val="20"/>
                <w:szCs w:val="20"/>
                <w:color w:val="auto"/>
              </w:rPr>
            </w:pPr>
            <w:r>
              <w:rPr>
                <w:rFonts w:ascii="Arial" w:cs="Arial" w:eastAsia="Arial" w:hAnsi="Arial"/>
                <w:sz w:val="17"/>
                <w:szCs w:val="17"/>
                <w:color w:val="auto"/>
              </w:rPr>
              <w:t>10 %</w:t>
            </w: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16 %</w:t>
            </w:r>
          </w:p>
        </w:tc>
      </w:tr>
    </w:tbl>
    <w:p>
      <w:pPr>
        <w:spacing w:after="0" w:line="234" w:lineRule="exact"/>
        <w:rPr>
          <w:sz w:val="20"/>
          <w:szCs w:val="20"/>
          <w:color w:val="auto"/>
        </w:rPr>
      </w:pPr>
    </w:p>
    <w:p>
      <w:pPr>
        <w:ind w:right="60" w:firstLine="309"/>
        <w:spacing w:after="0" w:line="312" w:lineRule="auto"/>
        <w:rPr>
          <w:sz w:val="20"/>
          <w:szCs w:val="20"/>
          <w:color w:val="auto"/>
        </w:rPr>
      </w:pPr>
      <w:r>
        <w:rPr>
          <w:rFonts w:ascii="Arial" w:cs="Arial" w:eastAsia="Arial" w:hAnsi="Arial"/>
          <w:sz w:val="16"/>
          <w:szCs w:val="16"/>
          <w:color w:val="auto"/>
        </w:rPr>
        <w:t>We expect that both our U.S. and international revenue will increase in the near term as we continue to expand the install base of AquaBeam Robotic Systems and increase the related customer utilization. We expect our increase in revenues in absolute dollars to be larger in the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 and Gross Margin</w:t>
      </w:r>
    </w:p>
    <w:p>
      <w:pPr>
        <w:spacing w:after="0" w:line="165" w:lineRule="exact"/>
        <w:rPr>
          <w:sz w:val="20"/>
          <w:szCs w:val="20"/>
          <w:color w:val="auto"/>
        </w:rPr>
      </w:pPr>
    </w:p>
    <w:p>
      <w:pPr>
        <w:ind w:right="140" w:firstLine="309"/>
        <w:spacing w:after="0" w:line="259" w:lineRule="auto"/>
        <w:rPr>
          <w:sz w:val="20"/>
          <w:szCs w:val="20"/>
          <w:color w:val="auto"/>
        </w:rPr>
      </w:pPr>
      <w:r>
        <w:rPr>
          <w:rFonts w:ascii="Arial" w:cs="Arial" w:eastAsia="Arial" w:hAnsi="Arial"/>
          <w:sz w:val="17"/>
          <w:szCs w:val="17"/>
          <w:color w:val="auto"/>
        </w:rPr>
        <w:t>Cost of sales consists primarily of manufacturing overhead costs, material costs, warranty and service costs, direct labor and other direct costs such as shipping costs. A significant portion of our cost of sales currently consists of manufacturing overhead costs. These overhead costs include compensation for personnel, including stock-based compensation, facilities, equipment and operations supervision, quality assurance and material procurement. We expect our cost of sales to increase in absolute dollars for the foreseeable future primarily as, and to the extent, our revenue grows, or we make additional investments in our manufacturing capabilities, though it may fluctuate from period to period.</w:t>
      </w:r>
    </w:p>
    <w:p>
      <w:pPr>
        <w:spacing w:after="0" w:line="131" w:lineRule="exact"/>
        <w:rPr>
          <w:sz w:val="20"/>
          <w:szCs w:val="20"/>
          <w:color w:val="auto"/>
        </w:rPr>
      </w:pPr>
    </w:p>
    <w:p>
      <w:pPr>
        <w:ind w:right="100" w:firstLine="309"/>
        <w:spacing w:after="0" w:line="299" w:lineRule="auto"/>
        <w:rPr>
          <w:sz w:val="20"/>
          <w:szCs w:val="20"/>
          <w:color w:val="auto"/>
        </w:rPr>
      </w:pPr>
      <w:r>
        <w:rPr>
          <w:rFonts w:ascii="Arial" w:cs="Arial" w:eastAsia="Arial" w:hAnsi="Arial"/>
          <w:sz w:val="15"/>
          <w:szCs w:val="15"/>
          <w:color w:val="auto"/>
        </w:rPr>
        <w:t>We calculate gross margin percentage as gross profit divided by revenue. Our gross margin has been and will continue to be affected by a variety of factors, primarily, product and geographic mix and the resulting average selling prices, production volumes, manufacturing costs and product yields, and to a lesser extent the implementation of cost reduction strategies. We expect our gross margin to increase over the long term as our production volume increases and as we spread the fixed portion of our manufacturing overhead costs over a larger number of units produced, thereby significantly reducing our per unit manufacturing costs, though it may fluctuate from quarter to quarter. Our gross margins can fluctuate due to geographic mix. To the extent we sell more systems and handpieces in the United States, we expect our margins will increase due to the higher average selling prices as compared to sales outside of the United States.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Research and Development</w:t>
      </w:r>
    </w:p>
    <w:p>
      <w:pPr>
        <w:spacing w:after="0" w:line="165" w:lineRule="exact"/>
        <w:rPr>
          <w:sz w:val="20"/>
          <w:szCs w:val="20"/>
          <w:color w:val="auto"/>
        </w:rPr>
      </w:pPr>
    </w:p>
    <w:p>
      <w:pPr>
        <w:jc w:val="both"/>
        <w:ind w:right="420" w:firstLine="309"/>
        <w:spacing w:after="0" w:line="266" w:lineRule="auto"/>
        <w:rPr>
          <w:sz w:val="20"/>
          <w:szCs w:val="20"/>
          <w:color w:val="auto"/>
        </w:rPr>
      </w:pPr>
      <w:r>
        <w:rPr>
          <w:rFonts w:ascii="Arial" w:cs="Arial" w:eastAsia="Arial" w:hAnsi="Arial"/>
          <w:sz w:val="17"/>
          <w:szCs w:val="17"/>
          <w:color w:val="auto"/>
        </w:rPr>
        <w:t>Research and development, or R&amp;D, expenses consist primarily of engineering, product development, regulatory affairs, consulting services, materials, depreciation and other costs associated with products and technologies being developed. These expenses include employee and non-employee compensation, including stock-based compensation,</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supplies, materials, quality assurance expenses, consulting, related travel expenses and facilities expenses. We expect our R&amp;D expenses to increase in absolute dollars for the foreseeable future as we continue to develop, enhance and commercialize new products and technologies, though it may fluctuate from quarter to quarter. However, we expect our R&amp;D expenses as a percentage of revenue to vary over time depending on the level and timing of initiating new product development efforts.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Selling, General and Administrative</w:t>
      </w:r>
    </w:p>
    <w:p>
      <w:pPr>
        <w:spacing w:after="0" w:line="165" w:lineRule="exact"/>
        <w:rPr>
          <w:sz w:val="20"/>
          <w:szCs w:val="20"/>
          <w:color w:val="auto"/>
        </w:rPr>
      </w:pPr>
    </w:p>
    <w:p>
      <w:pPr>
        <w:ind w:firstLine="309"/>
        <w:spacing w:after="0" w:line="295" w:lineRule="auto"/>
        <w:rPr>
          <w:sz w:val="20"/>
          <w:szCs w:val="20"/>
          <w:color w:val="auto"/>
        </w:rPr>
      </w:pPr>
      <w:r>
        <w:rPr>
          <w:rFonts w:ascii="Arial" w:cs="Arial" w:eastAsia="Arial" w:hAnsi="Arial"/>
          <w:sz w:val="15"/>
          <w:szCs w:val="15"/>
          <w:color w:val="auto"/>
        </w:rPr>
        <w:t>Selling, general and administrative, or SG&amp;A, expenses consist primarily of compensation for personnel, including stock-based compensation, related to selling, marketing, clinical affairs, professional education, finance, information technology, and human resource functions. SG&amp;A expenses also include commissions, training, travel expenses, promotional activities, conferences, trade shows, professional services fees, audit fees, legal fees, insurance costs and general corporate expenses including allocated facilities-related expenses. Post-market study expenses include trial design, site reimbursement, data management and travel expenses. We expect our SG&amp;A expenses to increase in absolute dollars for the foreseeable future as we expand our commercial infrastructure and incur additional fees associated with operating as a public company, including legal, accounting, insurance, compliance with the rules and regulations of the SEC and those of any stock exchange on which our securities are traded, investor relations, and other administrative and professional services expenses, though it may fluctuate from quarter to quarter. However, over time, we expect our SG&amp;A expenses to decrease as a percentage of revenue.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(Expense), Net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Expense</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Interest expense consists primarily of interest expense from our long-term debt.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Income, Net</w:t>
      </w:r>
    </w:p>
    <w:p>
      <w:pPr>
        <w:spacing w:after="0" w:line="165" w:lineRule="exact"/>
        <w:rPr>
          <w:sz w:val="20"/>
          <w:szCs w:val="20"/>
          <w:color w:val="auto"/>
        </w:rPr>
      </w:pPr>
    </w:p>
    <w:p>
      <w:pPr>
        <w:ind w:right="620" w:firstLine="309"/>
        <w:spacing w:after="0" w:line="279" w:lineRule="auto"/>
        <w:rPr>
          <w:sz w:val="20"/>
          <w:szCs w:val="20"/>
          <w:color w:val="auto"/>
        </w:rPr>
      </w:pPr>
      <w:r>
        <w:rPr>
          <w:rFonts w:ascii="Arial" w:cs="Arial" w:eastAsia="Arial" w:hAnsi="Arial"/>
          <w:sz w:val="17"/>
          <w:szCs w:val="17"/>
          <w:color w:val="auto"/>
        </w:rPr>
        <w:t>Interest and other income, net, consists primarily of interest income from our cash and cash equivalents balances, and fair value adjustments from our redeemable convertible preferred stock warrant liabilities and our loan facility derivative liability.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adjust the carrying values of the loan facility derivative liability for changes in fair value and recognize those changes in interest and other income, net.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Loss on loan extinguishment</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Loss on loan extinguishment was a result of our acquisition price of our new debt exceeded the carrying amount of our existing debt.</w:t>
      </w:r>
    </w:p>
    <w:p>
      <w:pPr>
        <w:spacing w:after="0" w:line="200" w:lineRule="exact"/>
        <w:rPr>
          <w:sz w:val="20"/>
          <w:szCs w:val="20"/>
          <w:color w:val="auto"/>
        </w:rPr>
      </w:pP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2022 and 2021</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shows our results of operations for the years ended December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00" w:type="dxa"/>
            <w:vAlign w:val="bottom"/>
            <w:gridSpan w:val="7"/>
          </w:tcPr>
          <w:p>
            <w:pPr>
              <w:ind w:left="60"/>
              <w:spacing w:after="0"/>
              <w:rPr>
                <w:sz w:val="20"/>
                <w:szCs w:val="20"/>
                <w:color w:val="auto"/>
              </w:rPr>
            </w:pPr>
            <w:r>
              <w:rPr>
                <w:rFonts w:ascii="Arial" w:cs="Arial" w:eastAsia="Arial" w:hAnsi="Arial"/>
                <w:sz w:val="14"/>
                <w:szCs w:val="14"/>
                <w:b w:val="1"/>
                <w:bCs w:val="1"/>
                <w:color w:val="auto"/>
              </w:rPr>
              <w:t>(in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75,014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34,473</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40,541</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Cost of sales</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37,929</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18,608</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19,321</w:t>
            </w:r>
          </w:p>
        </w:tc>
        <w:tc>
          <w:tcPr>
            <w:tcW w:w="5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16"/>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37,085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15,865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21,220</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18"/>
        </w:trPr>
        <w:tc>
          <w:tcPr>
            <w:tcW w:w="4800" w:type="dxa"/>
            <w:vAlign w:val="bottom"/>
          </w:tcPr>
          <w:p>
            <w:pPr>
              <w:ind w:left="200"/>
              <w:spacing w:after="0"/>
              <w:rPr>
                <w:sz w:val="20"/>
                <w:szCs w:val="20"/>
                <w:color w:val="auto"/>
              </w:rPr>
            </w:pPr>
            <w:r>
              <w:rPr>
                <w:rFonts w:ascii="Arial" w:cs="Arial" w:eastAsia="Arial" w:hAnsi="Arial"/>
                <w:sz w:val="17"/>
                <w:szCs w:val="17"/>
                <w:i w:val="1"/>
                <w:iCs w:val="1"/>
                <w:color w:val="auto"/>
              </w:rPr>
              <w:t>Gross margin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i w:val="1"/>
                <w:iCs w:val="1"/>
                <w:color w:val="auto"/>
              </w:rPr>
              <w:t>49 %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i w:val="1"/>
                <w:iCs w:val="1"/>
                <w:color w:val="auto"/>
              </w:rPr>
              <w:t>46 %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28,981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18,993</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18"/>
        </w:trPr>
        <w:tc>
          <w:tcPr>
            <w:tcW w:w="48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7"/>
                <w:szCs w:val="17"/>
                <w:color w:val="auto"/>
              </w:rPr>
              <w:t>88,828</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51,036</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37,792</w:t>
            </w:r>
          </w:p>
        </w:tc>
        <w:tc>
          <w:tcPr>
            <w:tcW w:w="5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ind w:right="116"/>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7"/>
                <w:szCs w:val="17"/>
                <w:color w:val="auto"/>
              </w:rPr>
              <w:t>117,809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70,029</w:t>
            </w: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47,780</w:t>
            </w: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1"/>
        </w:trPr>
        <w:tc>
          <w:tcPr>
            <w:tcW w:w="48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7"/>
                <w:szCs w:val="17"/>
                <w:color w:val="auto"/>
              </w:rPr>
              <w:t>(80,724)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58"/>
              <w:spacing w:after="0"/>
              <w:rPr>
                <w:sz w:val="20"/>
                <w:szCs w:val="20"/>
                <w:color w:val="auto"/>
              </w:rPr>
            </w:pPr>
            <w:r>
              <w:rPr>
                <w:rFonts w:ascii="Arial" w:cs="Arial" w:eastAsia="Arial" w:hAnsi="Arial"/>
                <w:sz w:val="17"/>
                <w:szCs w:val="17"/>
                <w:color w:val="auto"/>
              </w:rPr>
              <w:t>(54,164)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(26,560)</w:t>
            </w:r>
          </w:p>
        </w:tc>
        <w:tc>
          <w:tcPr>
            <w:tcW w:w="50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(5,183)</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7"/>
                <w:szCs w:val="17"/>
                <w:color w:val="auto"/>
              </w:rPr>
              <w:t>(5,810)</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Interest and other income, net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7"/>
                <w:szCs w:val="17"/>
                <w:color w:val="auto"/>
              </w:rPr>
              <w:t>2,011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ind w:right="98"/>
              <w:spacing w:after="0"/>
              <w:rPr>
                <w:sz w:val="20"/>
                <w:szCs w:val="20"/>
                <w:color w:val="auto"/>
              </w:rPr>
            </w:pPr>
            <w:r>
              <w:rPr>
                <w:rFonts w:ascii="Arial" w:cs="Arial" w:eastAsia="Arial" w:hAnsi="Arial"/>
                <w:sz w:val="17"/>
                <w:szCs w:val="17"/>
                <w:color w:val="auto"/>
              </w:rPr>
              <w:t>121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1,890</w:t>
            </w:r>
          </w:p>
        </w:tc>
        <w:tc>
          <w:tcPr>
            <w:tcW w:w="5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1562</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on loan extinguishment</w:t>
            </w:r>
          </w:p>
        </w:tc>
        <w:tc>
          <w:tcPr>
            <w:tcW w:w="1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7"/>
                <w:szCs w:val="17"/>
                <w:color w:val="auto"/>
              </w:rPr>
              <w:t>(3,258)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(3,258)</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36"/>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13"/>
        </w:trPr>
        <w:tc>
          <w:tcPr>
            <w:tcW w:w="4800" w:type="dxa"/>
            <w:vAlign w:val="bottom"/>
          </w:tcPr>
          <w:p>
            <w:pPr>
              <w:ind w:left="400"/>
              <w:spacing w:after="0"/>
              <w:rPr>
                <w:sz w:val="20"/>
                <w:szCs w:val="20"/>
                <w:color w:val="auto"/>
              </w:rPr>
            </w:pPr>
            <w:r>
              <w:rPr>
                <w:rFonts w:ascii="Arial" w:cs="Arial" w:eastAsia="Arial" w:hAnsi="Arial"/>
                <w:sz w:val="17"/>
                <w:szCs w:val="17"/>
                <w:color w:val="auto"/>
              </w:rPr>
              <w:t>Net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7"/>
                <w:szCs w:val="17"/>
                <w:color w:val="auto"/>
              </w:rPr>
              <w:t>(87,154)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7"/>
                <w:szCs w:val="17"/>
                <w:color w:val="auto"/>
              </w:rPr>
              <w:t>(59,853)</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(27,301)</w:t>
            </w:r>
          </w:p>
        </w:tc>
        <w:tc>
          <w:tcPr>
            <w:tcW w:w="500" w:type="dxa"/>
            <w:vAlign w:val="bottom"/>
          </w:tcPr>
          <w:p>
            <w:pPr>
              <w:spacing w:after="0"/>
              <w:rPr>
                <w:sz w:val="18"/>
                <w:szCs w:val="18"/>
                <w:color w:val="auto"/>
              </w:rPr>
            </w:pPr>
          </w:p>
        </w:tc>
        <w:tc>
          <w:tcPr>
            <w:tcW w:w="1180" w:type="dxa"/>
            <w:vAlign w:val="bottom"/>
          </w:tcPr>
          <w:p>
            <w:pPr>
              <w:jc w:val="right"/>
              <w:ind w:right="76"/>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7"/>
                <w:szCs w:val="17"/>
                <w:color w:val="auto"/>
              </w:rPr>
              <w:t>N/M - Not meaningful.</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4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4800" w:type="dxa"/>
            <w:vAlign w:val="bottom"/>
          </w:tcPr>
          <w:p>
            <w:pPr>
              <w:ind w:left="320"/>
              <w:spacing w:after="0"/>
              <w:rPr>
                <w:sz w:val="20"/>
                <w:szCs w:val="20"/>
                <w:color w:val="auto"/>
              </w:rPr>
            </w:pPr>
            <w:r>
              <w:rPr>
                <w:rFonts w:ascii="Arial" w:cs="Arial" w:eastAsia="Arial" w:hAnsi="Arial"/>
                <w:sz w:val="17"/>
                <w:szCs w:val="17"/>
                <w:i w:val="1"/>
                <w:iCs w:val="1"/>
                <w:color w:val="auto"/>
              </w:rPr>
              <w:t>Revenue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Change</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00" w:type="dxa"/>
            <w:vAlign w:val="bottom"/>
            <w:gridSpan w:val="7"/>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System sales and rentals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39,728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21,868</w:t>
            </w:r>
          </w:p>
        </w:tc>
        <w:tc>
          <w:tcPr>
            <w:tcW w:w="4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17,860</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0" w:type="dxa"/>
            <w:vAlign w:val="bottom"/>
          </w:tcPr>
          <w:p>
            <w:pPr>
              <w:spacing w:after="0"/>
              <w:rPr>
                <w:sz w:val="1"/>
                <w:szCs w:val="1"/>
                <w:color w:val="auto"/>
              </w:rPr>
            </w:pPr>
          </w:p>
        </w:tc>
      </w:tr>
      <w:tr>
        <w:trPr>
          <w:trHeight w:val="218"/>
        </w:trPr>
        <w:tc>
          <w:tcPr>
            <w:tcW w:w="4800" w:type="dxa"/>
            <w:vAlign w:val="bottom"/>
          </w:tcPr>
          <w:p>
            <w:pPr>
              <w:ind w:left="20"/>
              <w:spacing w:after="0"/>
              <w:rPr>
                <w:sz w:val="20"/>
                <w:szCs w:val="20"/>
                <w:color w:val="auto"/>
              </w:rPr>
            </w:pPr>
            <w:r>
              <w:rPr>
                <w:rFonts w:ascii="Arial" w:cs="Arial" w:eastAsia="Arial" w:hAnsi="Arial"/>
                <w:sz w:val="17"/>
                <w:szCs w:val="17"/>
                <w:color w:val="auto"/>
              </w:rPr>
              <w:t>Hand pieces and other consumables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31,816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11,527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20,289</w:t>
            </w:r>
          </w:p>
        </w:tc>
        <w:tc>
          <w:tcPr>
            <w:tcW w:w="5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Service</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3,470</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2,392</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4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75,014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34,473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40,541</w:t>
            </w:r>
          </w:p>
        </w:tc>
        <w:tc>
          <w:tcPr>
            <w:tcW w:w="5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0" w:firstLine="309"/>
        <w:spacing w:after="0" w:line="266" w:lineRule="auto"/>
        <w:rPr>
          <w:sz w:val="20"/>
          <w:szCs w:val="20"/>
          <w:color w:val="auto"/>
        </w:rPr>
      </w:pPr>
      <w:r>
        <w:rPr>
          <w:rFonts w:ascii="Arial" w:cs="Arial" w:eastAsia="Arial" w:hAnsi="Arial"/>
          <w:sz w:val="17"/>
          <w:szCs w:val="17"/>
          <w:color w:val="auto"/>
        </w:rPr>
        <w:t>Revenue increased $40.5 million, or 118%, to $75.0 million during the year ended December 31, 2022, compared to $34.5 million during the year ended December 31, 2021. The growth in revenue was primarily attributable to an increase of $17.9 million and $20.3 million in revenues from higher sales volumes and increases in our average sale prices of both our AquaBeam Robotic System and our single-use disposable handpieces.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Cost of Sales and Gross Margin</w:t>
      </w:r>
    </w:p>
    <w:p>
      <w:pPr>
        <w:spacing w:after="0" w:line="165"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Cost of sales increased $19.3 million, or 104%, to $37.9 million during the year ended December 31, 2022, compared to $18.6 million during the year ended December 31, 2021. The increase in cost of sales was primarily attributable to the growth in the number of units sold.</w:t>
      </w:r>
    </w:p>
    <w:p>
      <w:pPr>
        <w:spacing w:after="0" w:line="113" w:lineRule="exact"/>
        <w:rPr>
          <w:sz w:val="20"/>
          <w:szCs w:val="20"/>
          <w:color w:val="auto"/>
        </w:rPr>
      </w:pPr>
    </w:p>
    <w:p>
      <w:pPr>
        <w:ind w:right="40" w:firstLine="309"/>
        <w:spacing w:after="0" w:line="262" w:lineRule="auto"/>
        <w:rPr>
          <w:sz w:val="20"/>
          <w:szCs w:val="20"/>
          <w:color w:val="auto"/>
        </w:rPr>
      </w:pPr>
      <w:r>
        <w:rPr>
          <w:rFonts w:ascii="Arial" w:cs="Arial" w:eastAsia="Arial" w:hAnsi="Arial"/>
          <w:sz w:val="17"/>
          <w:szCs w:val="17"/>
          <w:color w:val="auto"/>
        </w:rPr>
        <w:t>Gross margin increased to 49% during the year ended December 31, 2022, compared to 46% for the year ended December 31, 2021. The increase in gross margin was primarily attributable to the growth in unit sales, which allowed us to spread the fixed portion of our manufacturing overhead costs over more production units. Additionally, we realized higher average selling prices in the United States on both our AquaBeam Robotic System and our single-use disposable handpieces.</w:t>
      </w:r>
    </w:p>
    <w:p>
      <w:pPr>
        <w:spacing w:after="0" w:line="200" w:lineRule="exact"/>
        <w:rPr>
          <w:sz w:val="20"/>
          <w:szCs w:val="20"/>
          <w:color w:val="auto"/>
        </w:rPr>
      </w:pPr>
    </w:p>
    <w:p>
      <w:pPr>
        <w:spacing w:after="0" w:line="33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Research and Development Expenses</w:t>
      </w:r>
    </w:p>
    <w:p>
      <w:pPr>
        <w:spacing w:after="0" w:line="165" w:lineRule="exact"/>
        <w:rPr>
          <w:sz w:val="20"/>
          <w:szCs w:val="20"/>
          <w:color w:val="auto"/>
        </w:rPr>
      </w:pPr>
    </w:p>
    <w:p>
      <w:pPr>
        <w:ind w:right="80" w:firstLine="309"/>
        <w:spacing w:after="0" w:line="266" w:lineRule="auto"/>
        <w:rPr>
          <w:sz w:val="20"/>
          <w:szCs w:val="20"/>
          <w:color w:val="auto"/>
        </w:rPr>
      </w:pPr>
      <w:r>
        <w:rPr>
          <w:rFonts w:ascii="Arial" w:cs="Arial" w:eastAsia="Arial" w:hAnsi="Arial"/>
          <w:sz w:val="17"/>
          <w:szCs w:val="17"/>
          <w:color w:val="auto"/>
        </w:rPr>
        <w:t>R&amp;D expenses increased $10.0 million, or 53%, to $29.0 million during the year ended December 31, 2022, compared to $19.0 million during the year ended December 31, 2021. The increase in R&amp;D expenses was primarily due to employee-related expenses from increased headcount of our R&amp;D organization. These expenses support ongoing product improvements and the development of additional and next generation technologies.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65" w:lineRule="exact"/>
        <w:rPr>
          <w:sz w:val="20"/>
          <w:szCs w:val="20"/>
          <w:color w:val="auto"/>
        </w:rPr>
      </w:pPr>
    </w:p>
    <w:p>
      <w:pPr>
        <w:ind w:right="420" w:firstLine="309"/>
        <w:spacing w:after="0" w:line="290" w:lineRule="auto"/>
        <w:rPr>
          <w:sz w:val="20"/>
          <w:szCs w:val="20"/>
          <w:color w:val="auto"/>
        </w:rPr>
      </w:pPr>
      <w:r>
        <w:rPr>
          <w:rFonts w:ascii="Arial" w:cs="Arial" w:eastAsia="Arial" w:hAnsi="Arial"/>
          <w:sz w:val="16"/>
          <w:szCs w:val="16"/>
          <w:color w:val="auto"/>
        </w:rPr>
        <w:t>SG&amp;A expenses increased $37.8 million, or 74%, to $88.8 million during the year ended December 31, 2022, compared to $51.0 million during the year ended December 31, 2021. The increase in SG&amp;A expenses was primarily due to employee-related expenses of our sales and marketing organization and reimbursement and administrative organizations as we expanded our infrastructure to drive and support our growth in revenue.</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Expense</w:t>
      </w:r>
    </w:p>
    <w:p>
      <w:pPr>
        <w:spacing w:after="0" w:line="165" w:lineRule="exact"/>
        <w:rPr>
          <w:sz w:val="20"/>
          <w:szCs w:val="20"/>
          <w:color w:val="auto"/>
        </w:rPr>
      </w:pPr>
    </w:p>
    <w:p>
      <w:pPr>
        <w:ind w:right="440" w:firstLine="309"/>
        <w:spacing w:after="0" w:line="266" w:lineRule="auto"/>
        <w:rPr>
          <w:sz w:val="20"/>
          <w:szCs w:val="20"/>
          <w:color w:val="auto"/>
        </w:rPr>
      </w:pPr>
      <w:r>
        <w:rPr>
          <w:rFonts w:ascii="Arial" w:cs="Arial" w:eastAsia="Arial" w:hAnsi="Arial"/>
          <w:sz w:val="17"/>
          <w:szCs w:val="17"/>
          <w:color w:val="auto"/>
        </w:rPr>
        <w:t>Interest expense decreased $0.6 million to $5.2 million during the year ended December 31, 2022, compared to $5.8 million during the year ended December 31, 2021. The decrease in interest expense was due to entering into a new loan agreement with a lower interest rate compared to our previous loan agreement during the year ended December 31, 2022.</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Interest and Other Income, Net</w:t>
      </w:r>
    </w:p>
    <w:p>
      <w:pPr>
        <w:spacing w:after="0" w:line="165" w:lineRule="exact"/>
        <w:rPr>
          <w:sz w:val="20"/>
          <w:szCs w:val="20"/>
          <w:color w:val="auto"/>
        </w:rPr>
      </w:pPr>
    </w:p>
    <w:p>
      <w:pPr>
        <w:ind w:right="420" w:firstLine="309"/>
        <w:spacing w:after="0" w:line="349" w:lineRule="auto"/>
        <w:rPr>
          <w:sz w:val="20"/>
          <w:szCs w:val="20"/>
          <w:color w:val="auto"/>
        </w:rPr>
      </w:pPr>
      <w:r>
        <w:rPr>
          <w:rFonts w:ascii="Arial" w:cs="Arial" w:eastAsia="Arial" w:hAnsi="Arial"/>
          <w:sz w:val="15"/>
          <w:szCs w:val="15"/>
          <w:color w:val="auto"/>
        </w:rPr>
        <w:t>Interest and other income, net, increased $1.9 million to $2.0 million during the year ended December 31, 2022 compared to $0.1 million during the year ended December 31, 2021. The increase in interest and other income, net was primarily due to higher interest rates earned on our money market funds.</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Loss on loan extinguishment</w:t>
      </w:r>
    </w:p>
    <w:p>
      <w:pPr>
        <w:spacing w:after="0" w:line="165" w:lineRule="exact"/>
        <w:rPr>
          <w:sz w:val="20"/>
          <w:szCs w:val="20"/>
          <w:color w:val="auto"/>
        </w:rPr>
      </w:pPr>
    </w:p>
    <w:p>
      <w:pPr>
        <w:jc w:val="both"/>
        <w:ind w:right="240" w:firstLine="309"/>
        <w:spacing w:after="0" w:line="266" w:lineRule="auto"/>
        <w:rPr>
          <w:sz w:val="20"/>
          <w:szCs w:val="20"/>
          <w:color w:val="auto"/>
        </w:rPr>
      </w:pPr>
      <w:r>
        <w:rPr>
          <w:rFonts w:ascii="Arial" w:cs="Arial" w:eastAsia="Arial" w:hAnsi="Arial"/>
          <w:sz w:val="17"/>
          <w:szCs w:val="17"/>
          <w:color w:val="auto"/>
        </w:rPr>
        <w:t>Loss on loan extinguishment increased $3.3 million during the year ended December 31, 2022 compared to zero during the year ended December 31, 2021. The increase in loss on loan extinguishment was due to our reacquisition price of our new debt exceeded the carrying amount of our existing debt in the current year.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65" w:lineRule="exact"/>
        <w:rPr>
          <w:sz w:val="20"/>
          <w:szCs w:val="20"/>
          <w:color w:val="auto"/>
        </w:rPr>
      </w:pPr>
    </w:p>
    <w:p>
      <w:pPr>
        <w:ind w:right="440" w:firstLine="309"/>
        <w:spacing w:after="0" w:line="279" w:lineRule="auto"/>
        <w:rPr>
          <w:sz w:val="20"/>
          <w:szCs w:val="20"/>
          <w:color w:val="auto"/>
        </w:rPr>
      </w:pPr>
      <w:r>
        <w:rPr>
          <w:rFonts w:ascii="Arial" w:cs="Arial" w:eastAsia="Arial" w:hAnsi="Arial"/>
          <w:sz w:val="17"/>
          <w:szCs w:val="17"/>
          <w:color w:val="auto"/>
        </w:rPr>
        <w:t>We completed our IPO in September 2021, which raised $172.4 million, net of issuance costs. Previously, our primary sources of capital have been from private placements of redeemable convertible preferred securities and debt financing agreements.</w:t>
      </w:r>
    </w:p>
    <w:p>
      <w:pPr>
        <w:spacing w:after="0" w:line="113" w:lineRule="exact"/>
        <w:rPr>
          <w:sz w:val="20"/>
          <w:szCs w:val="20"/>
          <w:color w:val="auto"/>
        </w:rPr>
      </w:pPr>
    </w:p>
    <w:p>
      <w:pPr>
        <w:ind w:firstLine="309"/>
        <w:spacing w:after="0" w:line="302" w:lineRule="auto"/>
        <w:rPr>
          <w:sz w:val="20"/>
          <w:szCs w:val="20"/>
          <w:color w:val="auto"/>
        </w:rPr>
      </w:pPr>
      <w:r>
        <w:rPr>
          <w:rFonts w:ascii="Arial" w:cs="Arial" w:eastAsia="Arial" w:hAnsi="Arial"/>
          <w:sz w:val="15"/>
          <w:szCs w:val="15"/>
          <w:color w:val="auto"/>
        </w:rPr>
        <w:t>As of December 31, 2022, we had cash and cash equivalents of $221.9 million, an accumulated deficit of $348.7 million, and $52.0 million outstanding on our loan facility. We expect our expenses will increase for the foreseeable future, in particular as we continue to make substantial investments in sales and marketing, operations and research and development. Moreover, we expect to incur additional expenses as a result of operating as a public company, including legal, accounting, insurance, compliance with the rules and regulations of the SEC and those of any stock exchange on which our securities are traded, investor relations, and other administrative and professional services expenses. Our future funding requirements will depend on many factors, including:</w:t>
      </w:r>
    </w:p>
    <w:p>
      <w:pPr>
        <w:spacing w:after="0" w:line="101" w:lineRule="exact"/>
        <w:rPr>
          <w:sz w:val="20"/>
          <w:szCs w:val="20"/>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degree and rate of market acceptance of our products and Aquablation therapy;</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scope and timing of investment in our sales force and expansion of our commercial organization;</w:t>
      </w:r>
    </w:p>
    <w:p>
      <w:pPr>
        <w:spacing w:after="0" w:line="165" w:lineRule="exact"/>
        <w:rPr>
          <w:rFonts w:ascii="Arial" w:cs="Arial" w:eastAsia="Arial" w:hAnsi="Arial"/>
          <w:sz w:val="17"/>
          <w:szCs w:val="17"/>
          <w:color w:val="auto"/>
        </w:rPr>
      </w:pPr>
    </w:p>
    <w:p>
      <w:pPr>
        <w:ind w:left="620" w:right="120" w:hanging="307"/>
        <w:spacing w:after="0" w:line="279" w:lineRule="auto"/>
        <w:tabs>
          <w:tab w:leader="none" w:pos="61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impact on our business from the ongoing and global COVID-19 pandemic and the end of the COVID-19 pandemic, or any other pandemic, epidemic or outbreak of an infectious disease;</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scope, rate of progress and cost of our current or future clinical trials and registries;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 and timing of additional regulatory clearances or approvals;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costs associated with any product recall that may occur;</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costs associated with the manufacturing of our products at increased production levels;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costs of attaining, defending and enforcing our intellectual property rights;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whether we acquire third-party companies, products or technologies;</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terms and timing of any other collaborative, licensing and other arrangements that we may establish;</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emergence of competing technologies or other adverse market developments;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rate at which we expand internationally.</w:t>
      </w:r>
    </w:p>
    <w:p>
      <w:pPr>
        <w:spacing w:after="0" w:line="165" w:lineRule="exact"/>
        <w:rPr>
          <w:sz w:val="20"/>
          <w:szCs w:val="20"/>
          <w:color w:val="auto"/>
        </w:rPr>
      </w:pPr>
    </w:p>
    <w:p>
      <w:pPr>
        <w:ind w:firstLine="309"/>
        <w:spacing w:after="0" w:line="274" w:lineRule="auto"/>
        <w:rPr>
          <w:sz w:val="20"/>
          <w:szCs w:val="20"/>
          <w:color w:val="auto"/>
        </w:rPr>
      </w:pPr>
      <w:r>
        <w:rPr>
          <w:rFonts w:ascii="Arial" w:cs="Arial" w:eastAsia="Arial" w:hAnsi="Arial"/>
          <w:sz w:val="16"/>
          <w:szCs w:val="16"/>
          <w:color w:val="auto"/>
        </w:rPr>
        <w:t>Based on our operating plan, we currently believe that our existing cash and cash equivalents and anticipated revenue will be sufficient to meet our capital requirements and fund our operations through at least the next twelve months from the issuance date of the financial statements. We have based this estimate on assumptions that may prove to be wrong, and we may need to utilize additional available capital resources. If these sources are insufficient to satisfy our liquidity requirements, we may seek to sell additional public equity or debt securities or obtain an additional credit facility. The sale of equity and convertible debt securities may result in dilution to our stockholders and, in the case of preferred equity securities or convertible debt, those securities could provide for rights, preferences or privileges senior to those of our common stock. Debt financing, if available, may involve covenants restricting our operations or our ability to incur additional debt. Any debt financing or additional equity that we raise may contain terms that are not favorable to us or our stockholders. Additional financing may not be available at all, or in amounts or on terms unacceptable to us. If we are unable to obtain additional financing, we may be required to delay the development, commercialization and marketing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65" w:lineRule="exact"/>
        <w:rPr>
          <w:sz w:val="20"/>
          <w:szCs w:val="20"/>
          <w:color w:val="auto"/>
        </w:rPr>
      </w:pPr>
    </w:p>
    <w:p>
      <w:pPr>
        <w:ind w:right="40" w:firstLine="309"/>
        <w:spacing w:after="0" w:line="262" w:lineRule="auto"/>
        <w:rPr>
          <w:sz w:val="20"/>
          <w:szCs w:val="20"/>
          <w:color w:val="auto"/>
        </w:rPr>
      </w:pPr>
      <w:r>
        <w:rPr>
          <w:rFonts w:ascii="Arial" w:cs="Arial" w:eastAsia="Arial" w:hAnsi="Arial"/>
          <w:sz w:val="17"/>
          <w:szCs w:val="17"/>
          <w:color w:val="auto"/>
        </w:rPr>
        <w:t>In October 2022, we entered into a loan and security agreement with a new lender, Canadian Imperial Bank of Commerce. The Agreement provides for a senior secured term loan facility in the aggregate principal amount of $52.0 million, which was borrowed in full. Proceeds from the term loan facility were used to repay and terminate our previous loan facility, transaction fees, and related expenses. Proceeds from the term loan facility was used to repay and terminate the our previous loan facility, transaction fees, and related expenses.</w:t>
      </w:r>
    </w:p>
    <w:p>
      <w:pPr>
        <w:spacing w:after="0" w:line="126" w:lineRule="exact"/>
        <w:rPr>
          <w:sz w:val="20"/>
          <w:szCs w:val="20"/>
          <w:color w:val="auto"/>
        </w:rPr>
      </w:pPr>
    </w:p>
    <w:p>
      <w:pPr>
        <w:ind w:right="160" w:firstLine="309"/>
        <w:spacing w:after="0" w:line="277" w:lineRule="auto"/>
        <w:rPr>
          <w:sz w:val="20"/>
          <w:szCs w:val="20"/>
          <w:color w:val="auto"/>
        </w:rPr>
      </w:pPr>
      <w:r>
        <w:rPr>
          <w:rFonts w:ascii="Arial" w:cs="Arial" w:eastAsia="Arial" w:hAnsi="Arial"/>
          <w:sz w:val="16"/>
          <w:szCs w:val="16"/>
          <w:color w:val="auto"/>
        </w:rPr>
        <w:t>The term loan facility is scheduled to mature on October 6, 2027, the fifth anniversary of the Closing Date (the "Maturity Date"). The loan and security agreement provides for interest-only payments on the term loan facility for the first thirty-six months following the Closing Date (the "Initial Interest-Only Period"). The Initial Interest-Only Period will be extended to an additional twelve months if we achieve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 Loan Facility divided by 12 plus any accrued and unpaid interest. We have the option to prepay the Term Loan Facility without any prepayment charge or fee.</w:t>
      </w:r>
    </w:p>
    <w:p>
      <w:pPr>
        <w:spacing w:after="0" w:line="118" w:lineRule="exact"/>
        <w:rPr>
          <w:sz w:val="20"/>
          <w:szCs w:val="20"/>
          <w:color w:val="auto"/>
        </w:rPr>
      </w:pPr>
    </w:p>
    <w:p>
      <w:pPr>
        <w:ind w:right="140" w:firstLine="309"/>
        <w:spacing w:after="0" w:line="266" w:lineRule="auto"/>
        <w:rPr>
          <w:sz w:val="20"/>
          <w:szCs w:val="20"/>
          <w:color w:val="auto"/>
        </w:rPr>
      </w:pPr>
      <w:r>
        <w:rPr>
          <w:rFonts w:ascii="Arial" w:cs="Arial" w:eastAsia="Arial" w:hAnsi="Arial"/>
          <w:sz w:val="17"/>
          <w:szCs w:val="17"/>
          <w:color w:val="auto"/>
        </w:rPr>
        <w:t>The loan borrowed under the Term Loan Facility bears interest at an annual rate equal to the secured overnight financing rate ("SOFR") (calculated based on an adjustment of 0.10%, 0.15% and 0.25%, respectively, for one-month, three-month or six-month term SOFR as of a specified date, subject to a floor of 1.5%) plus an applicable margin of 2.25%.</w:t>
      </w:r>
    </w:p>
    <w:p>
      <w:pPr>
        <w:spacing w:after="0" w:line="124" w:lineRule="exact"/>
        <w:rPr>
          <w:sz w:val="20"/>
          <w:szCs w:val="20"/>
          <w:color w:val="auto"/>
        </w:rPr>
      </w:pPr>
    </w:p>
    <w:p>
      <w:pPr>
        <w:jc w:val="both"/>
        <w:ind w:right="120" w:firstLine="309"/>
        <w:spacing w:after="0" w:line="290" w:lineRule="auto"/>
        <w:rPr>
          <w:sz w:val="20"/>
          <w:szCs w:val="20"/>
          <w:color w:val="auto"/>
        </w:rPr>
      </w:pPr>
      <w:r>
        <w:rPr>
          <w:rFonts w:ascii="Arial" w:cs="Arial" w:eastAsia="Arial" w:hAnsi="Arial"/>
          <w:sz w:val="16"/>
          <w:szCs w:val="16"/>
          <w:color w:val="auto"/>
        </w:rPr>
        <w:t>The obligations under the loan and security agreement are secured by substantially all of our assets, including its intellectual property and by a pledge all of our equity interests in its U.S. subsidiaries and 65% of our equity interests in its non-U.S. subsidiaries that are directly owned by us. We are obligated to maintain in deposit accounts held at the lender equal to at least the lesser of (i) $150.0 million or (ii) all of our non-operating cash.</w:t>
      </w:r>
    </w:p>
    <w:p>
      <w:pPr>
        <w:spacing w:after="0" w:line="107" w:lineRule="exact"/>
        <w:rPr>
          <w:sz w:val="20"/>
          <w:szCs w:val="20"/>
          <w:color w:val="auto"/>
        </w:rPr>
      </w:pPr>
    </w:p>
    <w:p>
      <w:pPr>
        <w:ind w:right="60" w:firstLine="309"/>
        <w:spacing w:after="0" w:line="297" w:lineRule="auto"/>
        <w:rPr>
          <w:sz w:val="20"/>
          <w:szCs w:val="20"/>
          <w:color w:val="auto"/>
        </w:rPr>
      </w:pPr>
      <w:r>
        <w:rPr>
          <w:rFonts w:ascii="Arial" w:cs="Arial" w:eastAsia="Arial" w:hAnsi="Arial"/>
          <w:sz w:val="15"/>
          <w:szCs w:val="15"/>
          <w:color w:val="auto"/>
        </w:rPr>
        <w:t>The loan and security agreement contains certain customary representations and warranties, affirmative and negative covenants, and events of default. Under the loan and security agreement, if we maintain less than $100.0 million in available cash, then we are required to meet either one of two financial covenants: a minimum unrestricted cash covenant or a minimum revenue and growth covenant. The minimum unrestricted cash covenant requires that we to maintain cash reserve not less than the greater of (i) $20.0 million, (ii) the absolute value of EBITDA losses (if any) for the most recent consecutive four-month period then ended or (iii) the aggregate outstanding principal amount of $52.0 million. The minimum revenue and growth covenant requires our revenue, for the consecutive twelve-month period as of each measurement date, of not less than $50.0 million and of at least 115% as of the last day of the consecutive twelve-month period of the immediately preceding year. If we maintain at least $100.0 million in available cash, then it is not required to meet such financial covenants.</w:t>
      </w: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cash flows for the years ended December 31, 2022 and 2021:</w:t>
      </w:r>
    </w:p>
    <w:p>
      <w:pPr>
        <w:spacing w:after="0" w:line="191" w:lineRule="exact"/>
        <w:rPr>
          <w:sz w:val="20"/>
          <w:szCs w:val="20"/>
          <w:color w:val="auto"/>
        </w:rPr>
      </w:pPr>
    </w:p>
    <w:p>
      <w:pPr>
        <w:jc w:val="center"/>
        <w:ind w:left="8180"/>
        <w:spacing w:after="0"/>
        <w:rPr>
          <w:sz w:val="20"/>
          <w:szCs w:val="20"/>
          <w:color w:val="auto"/>
        </w:rPr>
      </w:pPr>
      <w:r>
        <w:rPr>
          <w:rFonts w:ascii="Arial" w:cs="Arial" w:eastAsia="Arial" w:hAnsi="Arial"/>
          <w:sz w:val="14"/>
          <w:szCs w:val="14"/>
          <w:b w:val="1"/>
          <w:bCs w:val="1"/>
          <w:color w:val="auto"/>
        </w:rPr>
        <w:t>Year Ended</w:t>
      </w:r>
    </w:p>
    <w:p>
      <w:pPr>
        <w:jc w:val="center"/>
        <w:ind w:left="8180"/>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179"/>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2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8"/>
        </w:trPr>
        <w:tc>
          <w:tcPr>
            <w:tcW w:w="8180" w:type="dxa"/>
            <w:vAlign w:val="bottom"/>
            <w:gridSpan w:val="2"/>
          </w:tcPr>
          <w:p>
            <w:pPr>
              <w:ind w:left="20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(80,382)</w:t>
            </w:r>
          </w:p>
        </w:tc>
        <w:tc>
          <w:tcPr>
            <w:tcW w:w="80" w:type="dxa"/>
            <w:vAlign w:val="bottom"/>
          </w:tcPr>
          <w:p>
            <w:pPr>
              <w:spacing w:after="0"/>
              <w:rPr>
                <w:sz w:val="18"/>
                <w:szCs w:val="18"/>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(57,334)</w:t>
            </w:r>
          </w:p>
        </w:tc>
      </w:tr>
      <w:tr>
        <w:trPr>
          <w:trHeight w:val="220"/>
        </w:trPr>
        <w:tc>
          <w:tcPr>
            <w:tcW w:w="81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w:t>
            </w:r>
          </w:p>
        </w:tc>
      </w:tr>
      <w:tr>
        <w:trPr>
          <w:trHeight w:val="218"/>
        </w:trPr>
        <w:tc>
          <w:tcPr>
            <w:tcW w:w="8180" w:type="dxa"/>
            <w:vAlign w:val="bottom"/>
            <w:tcBorders>
              <w:bottom w:val="single" w:sz="8" w:color="CCEEFF"/>
            </w:tcBorders>
            <w:gridSpan w:val="2"/>
          </w:tcPr>
          <w:p>
            <w:pPr>
              <w:ind w:left="200"/>
              <w:spacing w:after="0"/>
              <w:rPr>
                <w:sz w:val="20"/>
                <w:szCs w:val="20"/>
                <w:color w:val="auto"/>
              </w:rPr>
            </w:pPr>
            <w:r>
              <w:rPr>
                <w:rFonts w:ascii="Arial" w:cs="Arial" w:eastAsia="Arial" w:hAnsi="Arial"/>
                <w:sz w:val="17"/>
                <w:szCs w:val="17"/>
                <w:color w:val="auto"/>
              </w:rPr>
              <w:t>Financing activities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3,612</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262,116</w:t>
            </w: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(decrease) increase in cash, cash equivalents and restricted cash</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(79,423)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204,190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Operating Activities</w:t>
      </w:r>
    </w:p>
    <w:p>
      <w:pPr>
        <w:spacing w:after="0" w:line="165" w:lineRule="exact"/>
        <w:rPr>
          <w:sz w:val="20"/>
          <w:szCs w:val="20"/>
          <w:color w:val="auto"/>
        </w:rPr>
      </w:pPr>
    </w:p>
    <w:p>
      <w:pPr>
        <w:ind w:right="60" w:firstLine="309"/>
        <w:spacing w:after="0" w:line="302" w:lineRule="auto"/>
        <w:rPr>
          <w:sz w:val="20"/>
          <w:szCs w:val="20"/>
          <w:color w:val="auto"/>
        </w:rPr>
      </w:pPr>
      <w:r>
        <w:rPr>
          <w:rFonts w:ascii="Arial" w:cs="Arial" w:eastAsia="Arial" w:hAnsi="Arial"/>
          <w:sz w:val="15"/>
          <w:szCs w:val="15"/>
          <w:color w:val="auto"/>
        </w:rPr>
        <w:t>During the year ended December 31, 2022, net cash used in operating activities was $80.4 million, consisting primarily of a net loss of $87.2 million and an increase in net operating assets of $11.5 million, partially offset by non-cash charges of $18.3 million. The cash used in operations was primarily due to our net loss due to the increase in operating expenses to support our commercialization and development activities. The expansion of our commercialization resulted in an increase in inventory, accounts receivable and prepaid expenses and other current assets, partially offset by an increase in other current liabilities, accrued compensation and accrued interest expense. Non-cash charges consisted primarily of stock-based compensation, depreciation, and loss on loan extinguishment.</w:t>
      </w:r>
    </w:p>
    <w:p>
      <w:pPr>
        <w:spacing w:after="0" w:line="101" w:lineRule="exact"/>
        <w:rPr>
          <w:sz w:val="20"/>
          <w:szCs w:val="20"/>
          <w:color w:val="auto"/>
        </w:rPr>
      </w:pPr>
    </w:p>
    <w:p>
      <w:pPr>
        <w:ind w:right="120" w:firstLine="309"/>
        <w:spacing w:after="0" w:line="279" w:lineRule="auto"/>
        <w:rPr>
          <w:sz w:val="20"/>
          <w:szCs w:val="20"/>
          <w:color w:val="auto"/>
        </w:rPr>
      </w:pPr>
      <w:r>
        <w:rPr>
          <w:rFonts w:ascii="Arial" w:cs="Arial" w:eastAsia="Arial" w:hAnsi="Arial"/>
          <w:sz w:val="16"/>
          <w:szCs w:val="16"/>
          <w:color w:val="auto"/>
        </w:rPr>
        <w:t>During the year ended December 31, 2021, net cash used in operating activities was $57.3 million, consisting primarily of a net loss of $59.9 million and an increase in net operating assets of $4.7 million, partially offset by non-cash charges of $7.2 million. The cash used in operations was primarily due to the increase in net loss primarily due to the increase in operating expenses and interest expense to service the loan payable all of which support the commercialization and development. The expansion of our commercialization and development activities resulted in an increase in inventory, partially offset by an increase in accrued compensation and interest. Non-cash charges consisted primarily of depreciation and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year ended December 31, 2022, net cash used in investing activities was $2.7 million, consisting of purchases of property and equipment.</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the year ended December 31, 2021, net cash used in investing activities was $0.6 million, consisting of purchases of property and equipment.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Financing Activities</w:t>
      </w:r>
    </w:p>
    <w:p>
      <w:pPr>
        <w:spacing w:after="0" w:line="165" w:lineRule="exact"/>
        <w:rPr>
          <w:sz w:val="20"/>
          <w:szCs w:val="20"/>
          <w:color w:val="auto"/>
        </w:rPr>
      </w:pPr>
    </w:p>
    <w:p>
      <w:pPr>
        <w:ind w:right="100" w:firstLine="309"/>
        <w:spacing w:after="0" w:line="266" w:lineRule="auto"/>
        <w:rPr>
          <w:sz w:val="20"/>
          <w:szCs w:val="20"/>
          <w:color w:val="auto"/>
        </w:rPr>
      </w:pPr>
      <w:r>
        <w:rPr>
          <w:rFonts w:ascii="Arial" w:cs="Arial" w:eastAsia="Arial" w:hAnsi="Arial"/>
          <w:sz w:val="17"/>
          <w:szCs w:val="17"/>
          <w:color w:val="auto"/>
        </w:rPr>
        <w:t>During the year ended December 31, 2022, net cash provided by financing activities was $3.6 million, consisting primarily of proceeds from the issuance of long-term debt of $51.2 million, net of issuance costs, proceeds and from the exercise of stock options of $4.0 million, partially offset by the payment of principal of long-term debt of $50.0 million, and prepayment fees associated with our previous loan facility.</w:t>
      </w:r>
    </w:p>
    <w:p>
      <w:pPr>
        <w:spacing w:after="0" w:line="124" w:lineRule="exact"/>
        <w:rPr>
          <w:sz w:val="20"/>
          <w:szCs w:val="20"/>
          <w:color w:val="auto"/>
        </w:rPr>
      </w:pPr>
    </w:p>
    <w:p>
      <w:pPr>
        <w:ind w:right="60" w:firstLine="309"/>
        <w:spacing w:after="0" w:line="279" w:lineRule="auto"/>
        <w:rPr>
          <w:sz w:val="20"/>
          <w:szCs w:val="20"/>
          <w:color w:val="auto"/>
        </w:rPr>
      </w:pPr>
      <w:r>
        <w:rPr>
          <w:rFonts w:ascii="Arial" w:cs="Arial" w:eastAsia="Arial" w:hAnsi="Arial"/>
          <w:sz w:val="17"/>
          <w:szCs w:val="17"/>
          <w:color w:val="auto"/>
        </w:rPr>
        <w:t>During the year ended December 31, 2021, net cash provided by financing activities was $262.1 million, consisting primarily of net proceeds from our IPO of $172.4 million and the issuance of shares of our Series F redeemable convertible preferred stock of $84.7 million.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Commitments and Contingencies</w:t>
      </w:r>
    </w:p>
    <w:p>
      <w:pPr>
        <w:spacing w:after="0" w:line="171"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color w:val="auto"/>
        </w:rPr>
        <w:t>The information included in Note 9 to the consolidated financial statements included in Part II, Item 8 of this Annual Report on Form 10-K is incorporated herein by reference.</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71" w:lineRule="exact"/>
        <w:rPr>
          <w:sz w:val="20"/>
          <w:szCs w:val="20"/>
          <w:color w:val="auto"/>
        </w:rPr>
      </w:pPr>
    </w:p>
    <w:p>
      <w:pPr>
        <w:ind w:right="240" w:firstLine="309"/>
        <w:spacing w:after="0" w:line="279"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such as structured finance, special purpose entities or variable interest entities.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71" w:lineRule="exact"/>
        <w:rPr>
          <w:sz w:val="20"/>
          <w:szCs w:val="20"/>
          <w:color w:val="auto"/>
        </w:rPr>
      </w:pPr>
    </w:p>
    <w:p>
      <w:pPr>
        <w:jc w:val="both"/>
        <w:ind w:right="80" w:firstLine="309"/>
        <w:spacing w:after="0" w:line="258" w:lineRule="auto"/>
        <w:rPr>
          <w:sz w:val="20"/>
          <w:szCs w:val="20"/>
          <w:color w:val="auto"/>
        </w:rPr>
      </w:pPr>
      <w:r>
        <w:rPr>
          <w:rFonts w:ascii="Arial" w:cs="Arial" w:eastAsia="Arial" w:hAnsi="Arial"/>
          <w:sz w:val="17"/>
          <w:szCs w:val="17"/>
          <w:color w:val="auto"/>
        </w:rPr>
        <w:t>Management’s discussion and analysis of our financial condition and results of operations is based on our financial statements, which have been prepared in accordance with U.S. generally accepted accounting principles. The preparation of the financial statements requires us to make estimates and assumptions for the reported amounts of assets, liabilities, revenue,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32" w:lineRule="exact"/>
        <w:rPr>
          <w:sz w:val="20"/>
          <w:szCs w:val="20"/>
          <w:color w:val="auto"/>
        </w:rPr>
      </w:pPr>
    </w:p>
    <w:p>
      <w:pPr>
        <w:jc w:val="both"/>
        <w:ind w:right="20" w:firstLine="309"/>
        <w:spacing w:after="0" w:line="266" w:lineRule="auto"/>
        <w:rPr>
          <w:sz w:val="20"/>
          <w:szCs w:val="20"/>
          <w:color w:val="auto"/>
        </w:rPr>
      </w:pPr>
      <w:r>
        <w:rPr>
          <w:rFonts w:ascii="Arial" w:cs="Arial" w:eastAsia="Arial" w:hAnsi="Arial"/>
          <w:sz w:val="17"/>
          <w:szCs w:val="17"/>
          <w:color w:val="auto"/>
        </w:rPr>
        <w:t>While our significant accounting policies are more fully described in Note 2 of our consolidated financial statements included elsewhere in this Annual Report on Form 10-K, we believe the following discussion addresses our most critical accounting policies, which are those that are most important to the portrayal of our financial condition and results of operations and require our most difficult, subjective and complex judgments.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65" w:lineRule="exact"/>
        <w:rPr>
          <w:sz w:val="20"/>
          <w:szCs w:val="20"/>
          <w:color w:val="auto"/>
        </w:rPr>
      </w:pPr>
    </w:p>
    <w:p>
      <w:pPr>
        <w:ind w:right="140" w:firstLine="309"/>
        <w:spacing w:after="0" w:line="266" w:lineRule="auto"/>
        <w:rPr>
          <w:sz w:val="20"/>
          <w:szCs w:val="20"/>
          <w:color w:val="auto"/>
        </w:rPr>
      </w:pPr>
      <w:r>
        <w:rPr>
          <w:rFonts w:ascii="Arial" w:cs="Arial" w:eastAsia="Arial" w:hAnsi="Arial"/>
          <w:sz w:val="17"/>
          <w:szCs w:val="17"/>
          <w:color w:val="auto"/>
        </w:rPr>
        <w:t>Revenue is derived primarily from the sales of the AquaBeam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24" w:lineRule="exact"/>
        <w:rPr>
          <w:sz w:val="20"/>
          <w:szCs w:val="20"/>
          <w:color w:val="auto"/>
        </w:rPr>
      </w:pPr>
    </w:p>
    <w:p>
      <w:pPr>
        <w:ind w:right="160" w:firstLine="309"/>
        <w:spacing w:after="0" w:line="292" w:lineRule="auto"/>
        <w:rPr>
          <w:sz w:val="20"/>
          <w:szCs w:val="20"/>
          <w:color w:val="auto"/>
        </w:rPr>
      </w:pPr>
      <w:r>
        <w:rPr>
          <w:rFonts w:ascii="Arial" w:cs="Arial" w:eastAsia="Arial" w:hAnsi="Arial"/>
          <w:sz w:val="15"/>
          <w:szCs w:val="15"/>
          <w:color w:val="auto"/>
        </w:rPr>
        <w:t>To determine revenue recognition for arrangements that we determine are within the scope of Accounting Standards Codification, or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or ASC 606, we perform the following five steps: (i) identify the contract with a customer; (ii) identify the performance obligations in the contract; (iii) determine the transaction price; (iv) allocate the transaction price to the performance obligations in the contract; and</w:t>
      </w:r>
    </w:p>
    <w:p>
      <w:pPr>
        <w:jc w:val="both"/>
        <w:ind w:right="160" w:firstLine="3"/>
        <w:spacing w:after="0" w:line="257" w:lineRule="auto"/>
        <w:tabs>
          <w:tab w:leader="none" w:pos="2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recognize revenue when, or as, we satisfy the performance obligations.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based on the contract.</w:t>
      </w:r>
    </w:p>
    <w:p>
      <w:pPr>
        <w:spacing w:after="0" w:line="132" w:lineRule="exact"/>
        <w:rPr>
          <w:sz w:val="20"/>
          <w:szCs w:val="20"/>
          <w:color w:val="auto"/>
        </w:rPr>
      </w:pPr>
    </w:p>
    <w:p>
      <w:pPr>
        <w:jc w:val="both"/>
        <w:ind w:right="80" w:firstLine="309"/>
        <w:spacing w:after="0" w:line="266" w:lineRule="auto"/>
        <w:rPr>
          <w:sz w:val="20"/>
          <w:szCs w:val="20"/>
          <w:color w:val="auto"/>
        </w:rPr>
      </w:pPr>
      <w:r>
        <w:rPr>
          <w:rFonts w:ascii="Arial" w:cs="Arial" w:eastAsia="Arial" w:hAnsi="Arial"/>
          <w:sz w:val="17"/>
          <w:szCs w:val="17"/>
          <w:color w:val="auto"/>
        </w:rPr>
        <w:t>The contracts are typically in the form of a master service agreement and a purchase order from the customer. Our AquaBeam Robotic System sales generally contain multiple products and services and can include a combination of the following performance obligations: robotic system, handpieces and consumables, and service.</w:t>
      </w:r>
    </w:p>
    <w:p>
      <w:pPr>
        <w:spacing w:after="0" w:line="124" w:lineRule="exact"/>
        <w:rPr>
          <w:sz w:val="20"/>
          <w:szCs w:val="20"/>
          <w:color w:val="auto"/>
        </w:rPr>
      </w:pPr>
    </w:p>
    <w:p>
      <w:pPr>
        <w:jc w:val="both"/>
        <w:ind w:right="40" w:firstLine="309"/>
        <w:spacing w:after="0" w:line="266" w:lineRule="auto"/>
        <w:rPr>
          <w:sz w:val="20"/>
          <w:szCs w:val="20"/>
          <w:color w:val="auto"/>
        </w:rPr>
      </w:pPr>
      <w:r>
        <w:rPr>
          <w:rFonts w:ascii="Arial" w:cs="Arial" w:eastAsia="Arial" w:hAnsi="Arial"/>
          <w:sz w:val="17"/>
          <w:szCs w:val="17"/>
          <w:color w:val="auto"/>
        </w:rPr>
        <w:t>The Company determines the transaction price it expects to be entitled to in exchange for transferring the promised product to the customer, which is based on the invoiced price for the products. All prices are at fixed amounts per the sales agreement with the customer and there are generally no discounts, rebates or other price concessions or a right of return, once the agreement is signed.</w:t>
      </w:r>
    </w:p>
    <w:p>
      <w:pPr>
        <w:spacing w:after="0" w:line="124" w:lineRule="exact"/>
        <w:rPr>
          <w:sz w:val="20"/>
          <w:szCs w:val="20"/>
          <w:color w:val="auto"/>
        </w:rPr>
      </w:pPr>
    </w:p>
    <w:p>
      <w:pPr>
        <w:ind w:right="120" w:firstLine="309"/>
        <w:spacing w:after="0" w:line="283" w:lineRule="auto"/>
        <w:rPr>
          <w:sz w:val="20"/>
          <w:szCs w:val="20"/>
          <w:color w:val="auto"/>
        </w:rPr>
      </w:pPr>
      <w:r>
        <w:rPr>
          <w:rFonts w:ascii="Arial" w:cs="Arial" w:eastAsia="Arial" w:hAnsi="Arial"/>
          <w:sz w:val="16"/>
          <w:szCs w:val="16"/>
          <w:color w:val="auto"/>
        </w:rPr>
        <w:t>For multiple-element arrangements,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considering market conditions and entity-specific factors including, but not limited to, features and functionality of the products and services, geographies, and type of customer. We regularly review standalone selling prices and update these estimates as necessary.</w:t>
      </w:r>
    </w:p>
    <w:p>
      <w:pPr>
        <w:spacing w:after="0" w:line="112" w:lineRule="exact"/>
        <w:rPr>
          <w:sz w:val="20"/>
          <w:szCs w:val="20"/>
          <w:color w:val="auto"/>
        </w:rPr>
      </w:pPr>
    </w:p>
    <w:p>
      <w:pPr>
        <w:ind w:right="400" w:firstLine="309"/>
        <w:spacing w:after="0" w:line="279" w:lineRule="auto"/>
        <w:rPr>
          <w:sz w:val="20"/>
          <w:szCs w:val="20"/>
          <w:color w:val="auto"/>
        </w:rPr>
      </w:pPr>
      <w:r>
        <w:rPr>
          <w:rFonts w:ascii="Arial" w:cs="Arial" w:eastAsia="Arial" w:hAnsi="Arial"/>
          <w:sz w:val="17"/>
          <w:szCs w:val="17"/>
          <w:color w:val="auto"/>
        </w:rPr>
        <w:t>We recognize revenue as the performance obligations are satisfied by transferring control of the product or service to a customer. We generally recognize revenue for the performance obligations at the following points in time:</w:t>
      </w:r>
    </w:p>
    <w:p>
      <w:pPr>
        <w:spacing w:after="0" w:line="113"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i w:val="1"/>
          <w:iCs w:val="1"/>
          <w:color w:val="auto"/>
        </w:rPr>
        <w:t xml:space="preserve">AquaBeam Robotic Systems </w:t>
      </w:r>
      <w:r>
        <w:rPr>
          <w:rFonts w:ascii="Arial" w:cs="Arial" w:eastAsia="Arial" w:hAnsi="Arial"/>
          <w:sz w:val="17"/>
          <w:szCs w:val="17"/>
          <w:color w:val="auto"/>
        </w:rPr>
        <w:t>- For systems (including system components and system accessories) sold directly to end customers, revenue is recognized when</w:t>
      </w:r>
      <w:r>
        <w:rPr>
          <w:rFonts w:ascii="Arial" w:cs="Arial" w:eastAsia="Arial" w:hAnsi="Arial"/>
          <w:sz w:val="17"/>
          <w:szCs w:val="17"/>
          <w:i w:val="1"/>
          <w:iCs w:val="1"/>
          <w:color w:val="auto"/>
        </w:rPr>
        <w:t xml:space="preserve"> </w:t>
      </w:r>
      <w:r>
        <w:rPr>
          <w:rFonts w:ascii="Arial" w:cs="Arial" w:eastAsia="Arial" w:hAnsi="Arial"/>
          <w:sz w:val="17"/>
          <w:szCs w:val="17"/>
          <w:color w:val="auto"/>
        </w:rPr>
        <w:t>we transfer control to the customer, which is generally at the time of delivery. Systems rented for a fixed monthly fee during an evaluation period, typically three to 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Our</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system arrangements generally do not provide a right of return. The systems are generally covered by a one-year service agreement. The service agreements have a stand alone selling price and are typically recognized as deferred revenue and amortized over the one-year service period.</w:t>
      </w:r>
    </w:p>
    <w:p>
      <w:pPr>
        <w:spacing w:after="0" w:line="113"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i w:val="1"/>
          <w:iCs w:val="1"/>
          <w:color w:val="auto"/>
        </w:rPr>
        <w:t xml:space="preserve">Hand pieces and other consumables </w:t>
      </w:r>
      <w:r>
        <w:rPr>
          <w:rFonts w:ascii="Arial" w:cs="Arial" w:eastAsia="Arial" w:hAnsi="Arial"/>
          <w:sz w:val="17"/>
          <w:szCs w:val="17"/>
          <w:color w:val="auto"/>
        </w:rPr>
        <w:t>- Revenue from sales of handpieces and other consumables is recognized when control is transferred to the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generally occurs at the time of shipment but also occurs at the time of delivery.</w:t>
      </w:r>
    </w:p>
    <w:p>
      <w:pPr>
        <w:spacing w:after="0" w:line="113"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i w:val="1"/>
          <w:iCs w:val="1"/>
          <w:color w:val="auto"/>
        </w:rPr>
        <w:t xml:space="preserve">Service </w:t>
      </w:r>
      <w:r>
        <w:rPr>
          <w:rFonts w:ascii="Arial" w:cs="Arial" w:eastAsia="Arial" w:hAnsi="Arial"/>
          <w:sz w:val="17"/>
          <w:szCs w:val="17"/>
          <w:color w:val="auto"/>
        </w:rPr>
        <w:t>- Service revenue, inclusive of the amounts associated with the AquaBeam Robotic System warranties, is recognized over the term of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the customer benefits from the services throughout the service period.</w:t>
      </w:r>
    </w:p>
    <w:p>
      <w:pPr>
        <w:spacing w:after="0" w:line="113" w:lineRule="exact"/>
        <w:rPr>
          <w:sz w:val="20"/>
          <w:szCs w:val="20"/>
          <w:color w:val="auto"/>
        </w:rPr>
      </w:pPr>
    </w:p>
    <w:p>
      <w:pPr>
        <w:ind w:right="100" w:firstLine="309"/>
        <w:spacing w:after="0" w:line="279" w:lineRule="auto"/>
        <w:rPr>
          <w:sz w:val="20"/>
          <w:szCs w:val="20"/>
          <w:color w:val="auto"/>
        </w:rPr>
      </w:pPr>
      <w:r>
        <w:rPr>
          <w:rFonts w:ascii="Arial" w:cs="Arial" w:eastAsia="Arial" w:hAnsi="Arial"/>
          <w:sz w:val="17"/>
          <w:szCs w:val="17"/>
          <w:color w:val="auto"/>
        </w:rPr>
        <w:t>We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13" w:lineRule="exact"/>
        <w:rPr>
          <w:sz w:val="20"/>
          <w:szCs w:val="20"/>
          <w:color w:val="auto"/>
        </w:rPr>
      </w:pPr>
    </w:p>
    <w:p>
      <w:pPr>
        <w:ind w:right="320" w:firstLine="309"/>
        <w:spacing w:after="0" w:line="262" w:lineRule="auto"/>
        <w:rPr>
          <w:sz w:val="20"/>
          <w:szCs w:val="20"/>
          <w:color w:val="auto"/>
        </w:rPr>
      </w:pPr>
      <w:r>
        <w:rPr>
          <w:rFonts w:ascii="Arial" w:cs="Arial" w:eastAsia="Arial" w:hAnsi="Arial"/>
          <w:sz w:val="17"/>
          <w:szCs w:val="17"/>
          <w:color w:val="auto"/>
        </w:rPr>
        <w:t>We must make significant assumptions regarding the future collectability of amounts receivable from customers to determine whether revenue recognition criteria have been met. If collectability is not assured at the time of shipment, we defer revenue until such criteria have been met. Our standard terms and conditions of sale do not allow for product returns, and we generally do not allow product returns, except in the case of damaged goods, and we have not experienced any significant returns of our products.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0" w:lineRule="exact"/>
        <w:rPr>
          <w:sz w:val="20"/>
          <w:szCs w:val="20"/>
          <w:color w:val="auto"/>
        </w:rPr>
      </w:pPr>
    </w:p>
    <w:p>
      <w:pPr>
        <w:jc w:val="both"/>
        <w:ind w:right="20" w:firstLine="309"/>
        <w:spacing w:after="0" w:line="242" w:lineRule="auto"/>
        <w:rPr>
          <w:sz w:val="20"/>
          <w:szCs w:val="20"/>
          <w:color w:val="auto"/>
        </w:rPr>
      </w:pPr>
      <w:r>
        <w:rPr>
          <w:rFonts w:ascii="Arial" w:cs="Arial" w:eastAsia="Arial" w:hAnsi="Arial"/>
          <w:sz w:val="17"/>
          <w:szCs w:val="17"/>
          <w:color w:val="auto"/>
        </w:rPr>
        <w:t>We account for stock options granted to employees and directors under the fair value recognition provision of ASC 718, Compensation - Stock Compensation. Stock-based compensation expense is recognized over the requisite service period in the statements of operations and comprehensive loss. We use the straight-line method for expense attribution.</w:t>
      </w:r>
    </w:p>
    <w:p>
      <w:pPr>
        <w:spacing w:after="0" w:line="131" w:lineRule="exact"/>
        <w:rPr>
          <w:sz w:val="20"/>
          <w:szCs w:val="20"/>
          <w:color w:val="auto"/>
        </w:rPr>
      </w:pPr>
    </w:p>
    <w:p>
      <w:pPr>
        <w:ind w:right="440" w:firstLine="309"/>
        <w:spacing w:after="0" w:line="312" w:lineRule="auto"/>
        <w:rPr>
          <w:sz w:val="20"/>
          <w:szCs w:val="20"/>
          <w:color w:val="auto"/>
        </w:rPr>
      </w:pPr>
      <w:r>
        <w:rPr>
          <w:rFonts w:ascii="Arial" w:cs="Arial" w:eastAsia="Arial" w:hAnsi="Arial"/>
          <w:sz w:val="16"/>
          <w:szCs w:val="16"/>
          <w:color w:val="auto"/>
        </w:rPr>
        <w:t>The valuation model used for calculating the fair value of awards for stock options is the Black-Scholes option pricing model. The Black-Scholes option pricing model requires us to make assumptions and judgments about the variables used in the calculation, including the following:</w:t>
      </w:r>
    </w:p>
    <w:p>
      <w:pPr>
        <w:spacing w:after="0" w:line="89" w:lineRule="exact"/>
        <w:rPr>
          <w:sz w:val="20"/>
          <w:szCs w:val="20"/>
          <w:color w:val="auto"/>
        </w:rPr>
      </w:pPr>
    </w:p>
    <w:p>
      <w:pPr>
        <w:ind w:right="400" w:firstLine="309"/>
        <w:spacing w:after="0" w:line="349" w:lineRule="auto"/>
        <w:rPr>
          <w:sz w:val="20"/>
          <w:szCs w:val="20"/>
          <w:color w:val="auto"/>
        </w:rPr>
      </w:pPr>
      <w:r>
        <w:rPr>
          <w:rFonts w:ascii="Arial" w:cs="Arial" w:eastAsia="Arial" w:hAnsi="Arial"/>
          <w:sz w:val="15"/>
          <w:szCs w:val="15"/>
          <w:i w:val="1"/>
          <w:iCs w:val="1"/>
          <w:color w:val="auto"/>
        </w:rPr>
        <w:t>Expected Term</w:t>
      </w:r>
      <w:r>
        <w:rPr>
          <w:rFonts w:ascii="Arial" w:cs="Arial" w:eastAsia="Arial" w:hAnsi="Arial"/>
          <w:sz w:val="15"/>
          <w:szCs w:val="15"/>
          <w:color w:val="auto"/>
        </w:rPr>
        <w:t>. The expected term of stock options represents the weighted-average period that the stock options are expected to remain outstanding. We</w:t>
      </w:r>
      <w:r>
        <w:rPr>
          <w:rFonts w:ascii="Arial" w:cs="Arial" w:eastAsia="Arial" w:hAnsi="Arial"/>
          <w:sz w:val="15"/>
          <w:szCs w:val="15"/>
          <w:i w:val="1"/>
          <w:iCs w:val="1"/>
          <w:color w:val="auto"/>
        </w:rPr>
        <w:t xml:space="preserve"> </w:t>
      </w:r>
      <w:r>
        <w:rPr>
          <w:rFonts w:ascii="Arial" w:cs="Arial" w:eastAsia="Arial" w:hAnsi="Arial"/>
          <w:sz w:val="15"/>
          <w:szCs w:val="15"/>
          <w:color w:val="auto"/>
        </w:rPr>
        <w:t>estimated the expected term based on the simplified method, which is the average of the weighted-average vesting period and contractual term of the option.</w:t>
      </w:r>
    </w:p>
    <w:p>
      <w:pPr>
        <w:spacing w:after="0" w:line="66" w:lineRule="exact"/>
        <w:rPr>
          <w:sz w:val="20"/>
          <w:szCs w:val="20"/>
          <w:color w:val="auto"/>
        </w:rPr>
      </w:pPr>
    </w:p>
    <w:p>
      <w:pPr>
        <w:ind w:right="180" w:firstLine="309"/>
        <w:spacing w:after="0" w:line="266" w:lineRule="auto"/>
        <w:rPr>
          <w:sz w:val="20"/>
          <w:szCs w:val="20"/>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Since there has been limited public market for our common stock and limited company specific historical volatility, we have determined</w:t>
      </w:r>
      <w:r>
        <w:rPr>
          <w:rFonts w:ascii="Arial" w:cs="Arial" w:eastAsia="Arial" w:hAnsi="Arial"/>
          <w:sz w:val="17"/>
          <w:szCs w:val="17"/>
          <w:i w:val="1"/>
          <w:iCs w:val="1"/>
          <w:color w:val="auto"/>
        </w:rPr>
        <w:t xml:space="preserve"> </w:t>
      </w:r>
      <w:r>
        <w:rPr>
          <w:rFonts w:ascii="Arial" w:cs="Arial" w:eastAsia="Arial" w:hAnsi="Arial"/>
          <w:sz w:val="17"/>
          <w:szCs w:val="17"/>
          <w:color w:val="auto"/>
        </w:rPr>
        <w:t>the share price volatility for options granted based on an analysis of the volatility of a peer group of publicly traded companies. In evaluating similarity, we consider factors such as industry, stage of life cycle and size.</w:t>
      </w:r>
    </w:p>
    <w:p>
      <w:pPr>
        <w:spacing w:after="0" w:line="124" w:lineRule="exact"/>
        <w:rPr>
          <w:sz w:val="20"/>
          <w:szCs w:val="20"/>
          <w:color w:val="auto"/>
        </w:rPr>
      </w:pPr>
    </w:p>
    <w:p>
      <w:pPr>
        <w:ind w:right="320" w:firstLine="309"/>
        <w:spacing w:after="0" w:line="279"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in effect at the time of the grant for zero-coupon U.S. Treasury notes</w:t>
      </w:r>
      <w:r>
        <w:rPr>
          <w:rFonts w:ascii="Arial" w:cs="Arial" w:eastAsia="Arial" w:hAnsi="Arial"/>
          <w:sz w:val="17"/>
          <w:szCs w:val="17"/>
          <w:i w:val="1"/>
          <w:iCs w:val="1"/>
          <w:color w:val="auto"/>
        </w:rPr>
        <w:t xml:space="preserve"> </w:t>
      </w:r>
      <w:r>
        <w:rPr>
          <w:rFonts w:ascii="Arial" w:cs="Arial" w:eastAsia="Arial" w:hAnsi="Arial"/>
          <w:sz w:val="17"/>
          <w:szCs w:val="17"/>
          <w:color w:val="auto"/>
        </w:rPr>
        <w:t>with remaining terms similar to the expected term of the options.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We assumed the expected dividend rate to be zero as we have never paid dividends and have no current plans to do so.</w:t>
      </w:r>
    </w:p>
    <w:p>
      <w:pPr>
        <w:spacing w:after="0" w:line="177" w:lineRule="exact"/>
        <w:rPr>
          <w:sz w:val="20"/>
          <w:szCs w:val="20"/>
          <w:color w:val="auto"/>
        </w:rPr>
      </w:pPr>
    </w:p>
    <w:p>
      <w:pPr>
        <w:ind w:right="20" w:firstLine="309"/>
        <w:spacing w:after="0" w:line="259" w:lineRule="auto"/>
        <w:rPr>
          <w:sz w:val="20"/>
          <w:szCs w:val="20"/>
          <w:color w:val="auto"/>
        </w:rPr>
      </w:pPr>
      <w:r>
        <w:rPr>
          <w:rFonts w:ascii="Arial" w:cs="Arial" w:eastAsia="Arial" w:hAnsi="Arial"/>
          <w:sz w:val="17"/>
          <w:szCs w:val="17"/>
          <w:color w:val="auto"/>
        </w:rPr>
        <w:t>See Note 7 to our consolidated financial statements included elsewhere in this Annual Report Form 10-K for information concerning certain of the specific assumption we used in applying the Black-Scholes option pricing model to determine the fair value of our stock options granted in the years ended December 31, 2022 and 2021. If factors change and we employ different assumptions, stock-based compensation expense may differ significantly from what we have recorded in the past. If there are any modifications or cancellations of the underlying unvested securities, we may be required to accelerate, increase or cancel any remaining unearned stock-based compensation expense.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Facility Derivative Liability</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6"/>
          <w:szCs w:val="16"/>
          <w:color w:val="auto"/>
        </w:rPr>
        <w:t>We have determined that our obligation to pay success fees to a lender upon a successful liquidation event or achieving a revenue target represents freestanding financial instruments. The instrument is classified as a long-term liability in the consolidated balance sheets and is subject to remeasurement at each consolidated balance sheet date. Any change in fair value is recognized through other income (expense) in the consolidated statements of operations and comprehensive loss. We adjust the carrying values of the loan facility derivative liability for changes in fair value and will continue to do so until the earlier of cash payment or expiration. The assumptions used in determining the fair value of the obligation require significant judgment.</w:t>
      </w: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discussion of recent accounting pronouncements is included in Note 2 to our financial statements contained in this Annual Report on Form 10-K.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65" w:lineRule="exact"/>
        <w:rPr>
          <w:sz w:val="20"/>
          <w:szCs w:val="20"/>
          <w:color w:val="auto"/>
        </w:rPr>
      </w:pPr>
    </w:p>
    <w:p>
      <w:pPr>
        <w:ind w:right="20" w:firstLine="309"/>
        <w:spacing w:after="0" w:line="266" w:lineRule="auto"/>
        <w:rPr>
          <w:sz w:val="20"/>
          <w:szCs w:val="20"/>
          <w:color w:val="auto"/>
        </w:rPr>
      </w:pPr>
      <w:r>
        <w:rPr>
          <w:rFonts w:ascii="Arial" w:cs="Arial" w:eastAsia="Arial" w:hAnsi="Arial"/>
          <w:sz w:val="17"/>
          <w:szCs w:val="17"/>
          <w:color w:val="auto"/>
        </w:rPr>
        <w:t>Cash and cash equivalents of $221.9 million as of December 31, 2022, consisted of securities carried at quoted market prices with an original maturity of three months or less and therefore there is minimal risk associated with fluctuating interest rates. We do not currently use or plan to use financial derivatives in our investment portfolio.</w:t>
      </w:r>
    </w:p>
    <w:p>
      <w:pPr>
        <w:spacing w:after="0" w:line="124"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In addition, as described above under the subsection titled “Indebtedness,” amounts outstanding under our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 As a result, we are exposed to risks from changes in interest rates. We do not believe that a hypothetical 100 basis point increase or decrease in interest rates or 30-day SOFR would have had a material impact on our financial statements included elsewhere in this Annual Report on Form 10-K.</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65" w:lineRule="exact"/>
        <w:rPr>
          <w:sz w:val="20"/>
          <w:szCs w:val="20"/>
          <w:color w:val="auto"/>
        </w:rPr>
      </w:pPr>
    </w:p>
    <w:p>
      <w:pPr>
        <w:ind w:right="20" w:firstLine="309"/>
        <w:spacing w:after="0" w:line="266" w:lineRule="auto"/>
        <w:rPr>
          <w:sz w:val="20"/>
          <w:szCs w:val="20"/>
          <w:color w:val="auto"/>
        </w:rPr>
      </w:pPr>
      <w:r>
        <w:rPr>
          <w:rFonts w:ascii="Arial" w:cs="Arial" w:eastAsia="Arial" w:hAnsi="Arial"/>
          <w:sz w:val="17"/>
          <w:szCs w:val="17"/>
          <w:color w:val="auto"/>
        </w:rPr>
        <w:t>We maintain our cash and cash equivalents with multiple financial institutions in the United States, and our current deposits are in excess of insured limits. We have reviewed the financial statements of these institutions and believe it has sufficient assets and liquidity to conduct its operations in the ordinary course of business with little or no credit risk to us.</w:t>
      </w:r>
    </w:p>
    <w:p>
      <w:pPr>
        <w:spacing w:after="0" w:line="124" w:lineRule="exact"/>
        <w:rPr>
          <w:sz w:val="20"/>
          <w:szCs w:val="20"/>
          <w:color w:val="auto"/>
        </w:rPr>
      </w:pPr>
    </w:p>
    <w:p>
      <w:pPr>
        <w:ind w:right="320" w:firstLine="309"/>
        <w:spacing w:after="0" w:line="266" w:lineRule="auto"/>
        <w:rPr>
          <w:sz w:val="20"/>
          <w:szCs w:val="20"/>
          <w:color w:val="auto"/>
        </w:rPr>
      </w:pPr>
      <w:r>
        <w:rPr>
          <w:rFonts w:ascii="Arial" w:cs="Arial" w:eastAsia="Arial" w:hAnsi="Arial"/>
          <w:sz w:val="17"/>
          <w:szCs w:val="17"/>
          <w:color w:val="auto"/>
        </w:rPr>
        <w:t>Our accounts receivable primarily relate to revenue from the sale or rental of our products. No customers accounted for greater than 10% of accounts receivable at December 31, 2022. We believe that credit risk in our accounts receivable is mitigated by our credit evaluation process, relatively short collection terms and diversity of our customer base.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165" w:lineRule="exact"/>
        <w:rPr>
          <w:sz w:val="20"/>
          <w:szCs w:val="20"/>
          <w:color w:val="auto"/>
        </w:rPr>
      </w:pPr>
    </w:p>
    <w:p>
      <w:pPr>
        <w:ind w:right="80" w:firstLine="309"/>
        <w:spacing w:after="0" w:line="258" w:lineRule="auto"/>
        <w:rPr>
          <w:sz w:val="20"/>
          <w:szCs w:val="20"/>
          <w:color w:val="auto"/>
        </w:rPr>
      </w:pPr>
      <w:r>
        <w:rPr>
          <w:rFonts w:ascii="Arial" w:cs="Arial" w:eastAsia="Arial" w:hAnsi="Arial"/>
          <w:sz w:val="17"/>
          <w:szCs w:val="17"/>
          <w:color w:val="auto"/>
        </w:rPr>
        <w:t>A portion of our net sales and expenses are denominated in foreign currencies, most notably the Euro. Future fluctuations in the value of the U.S. Dollar may affect the price competitiveness of our products outside the United States. For direct sales outside the United States, we sell in both U.S. Dollars and local currencies, which could expose us to additional foreign currency risks, including changes in currency exchange rates. Our operating expenses in countries outside the United States, are payable in foreign currencies and therefore expose us to currency risk. We do not believe that a hypothetical 10% increase or decrease in the relative value of the U.S. dollar to other currencies would have had a material impact on our financial statements included elsewhere in this Annual Report on Form 10-K.</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do not currently maintain a program to hedge exposures to non-U.S. dollar currencies.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165" w:lineRule="exact"/>
        <w:rPr>
          <w:sz w:val="20"/>
          <w:szCs w:val="20"/>
          <w:color w:val="auto"/>
        </w:rPr>
      </w:pPr>
    </w:p>
    <w:p>
      <w:pPr>
        <w:ind w:right="20" w:firstLine="309"/>
        <w:spacing w:after="0" w:line="279" w:lineRule="auto"/>
        <w:rPr>
          <w:sz w:val="20"/>
          <w:szCs w:val="20"/>
          <w:color w:val="auto"/>
        </w:rPr>
      </w:pPr>
      <w:r>
        <w:rPr>
          <w:rFonts w:ascii="Arial" w:cs="Arial" w:eastAsia="Arial" w:hAnsi="Arial"/>
          <w:sz w:val="17"/>
          <w:szCs w:val="17"/>
          <w:color w:val="auto"/>
        </w:rPr>
        <w:t>Inflation generally affects us by increasing our cost of labor and research and development contract costs. We do not believe that inflation had a material effect on our financial statements included elsewhere in this Annual Report on Form 10-K.</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10320" w:type="dxa"/>
            <w:vAlign w:val="bottom"/>
            <w:gridSpan w:val="2"/>
          </w:tcPr>
          <w:p>
            <w:pPr>
              <w:spacing w:after="0"/>
              <w:rPr>
                <w:sz w:val="20"/>
                <w:szCs w:val="20"/>
                <w:color w:val="auto"/>
              </w:rPr>
            </w:pPr>
            <w:r>
              <w:rPr>
                <w:rFonts w:ascii="Arial" w:cs="Arial" w:eastAsia="Arial" w:hAnsi="Arial"/>
                <w:sz w:val="17"/>
                <w:szCs w:val="17"/>
                <w:color w:val="0000FF"/>
              </w:rPr>
              <w:t>Table of Contents</w:t>
            </w:r>
          </w:p>
        </w:tc>
        <w:tc>
          <w:tcPr>
            <w:tcW w:w="920" w:type="dxa"/>
            <w:vAlign w:val="bottom"/>
          </w:tcPr>
          <w:p>
            <w:pPr>
              <w:spacing w:after="0"/>
              <w:rPr>
                <w:sz w:val="16"/>
                <w:szCs w:val="16"/>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945"/>
        </w:trPr>
        <w:tc>
          <w:tcPr>
            <w:tcW w:w="10320" w:type="dxa"/>
            <w:vAlign w:val="bottom"/>
            <w:gridSpan w:val="2"/>
          </w:tcPr>
          <w:p>
            <w:pPr>
              <w:spacing w:after="0"/>
              <w:rPr>
                <w:sz w:val="20"/>
                <w:szCs w:val="20"/>
                <w:color w:val="auto"/>
              </w:rPr>
            </w:pPr>
            <w:r>
              <w:rPr>
                <w:rFonts w:ascii="Arial" w:cs="Arial" w:eastAsia="Arial" w:hAnsi="Arial"/>
                <w:sz w:val="17"/>
                <w:szCs w:val="17"/>
                <w:b w:val="1"/>
                <w:bCs w:val="1"/>
                <w:color w:val="auto"/>
              </w:rPr>
              <w:t>Item 8. Financial Statements - Audited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Arial" w:cs="Arial" w:eastAsia="Arial" w:hAnsi="Arial"/>
                <w:sz w:val="17"/>
                <w:szCs w:val="17"/>
                <w:b w:val="1"/>
                <w:bCs w:val="1"/>
                <w:color w:val="auto"/>
                <w:w w:val="94"/>
              </w:rPr>
              <w:t>PROCEPT BioRobotics Corporation</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Arial" w:cs="Arial" w:eastAsia="Arial" w:hAnsi="Arial"/>
                <w:sz w:val="17"/>
                <w:szCs w:val="17"/>
                <w:b w:val="1"/>
                <w:bCs w:val="1"/>
                <w:color w:val="auto"/>
              </w:rPr>
              <w:t>INDEX TO CONSOLIDATED FINANCIAL STATEMENTS</w:t>
            </w:r>
          </w:p>
        </w:tc>
        <w:tc>
          <w:tcPr>
            <w:tcW w:w="920" w:type="dxa"/>
            <w:vAlign w:val="bottom"/>
          </w:tcPr>
          <w:p>
            <w:pPr>
              <w:spacing w:after="0"/>
              <w:rPr>
                <w:sz w:val="24"/>
                <w:szCs w:val="24"/>
                <w:color w:val="auto"/>
              </w:rPr>
            </w:pPr>
          </w:p>
        </w:tc>
      </w:tr>
      <w:tr>
        <w:trPr>
          <w:trHeight w:val="361"/>
        </w:trPr>
        <w:tc>
          <w:tcPr>
            <w:tcW w:w="1220" w:type="dxa"/>
            <w:vAlign w:val="bottom"/>
          </w:tcPr>
          <w:p>
            <w:pPr>
              <w:spacing w:after="0"/>
              <w:rPr>
                <w:sz w:val="24"/>
                <w:szCs w:val="24"/>
                <w:color w:val="auto"/>
              </w:rPr>
            </w:pPr>
          </w:p>
        </w:tc>
        <w:tc>
          <w:tcPr>
            <w:tcW w:w="9100" w:type="dxa"/>
            <w:vAlign w:val="bottom"/>
          </w:tcPr>
          <w:p>
            <w:pPr>
              <w:jc w:val="center"/>
              <w:ind w:right="194"/>
              <w:spacing w:after="0"/>
              <w:rPr>
                <w:sz w:val="20"/>
                <w:szCs w:val="20"/>
                <w:color w:val="auto"/>
              </w:rPr>
            </w:pPr>
            <w:r>
              <w:rPr>
                <w:rFonts w:ascii="Arial" w:cs="Arial" w:eastAsia="Arial" w:hAnsi="Arial"/>
                <w:sz w:val="17"/>
                <w:szCs w:val="17"/>
                <w:b w:val="1"/>
                <w:bCs w:val="1"/>
                <w:color w:val="auto"/>
                <w:w w:val="90"/>
              </w:rPr>
              <w:t>Years Ended December 31, 2022 and 2021</w:t>
            </w:r>
          </w:p>
        </w:tc>
        <w:tc>
          <w:tcPr>
            <w:tcW w:w="920" w:type="dxa"/>
            <w:vAlign w:val="bottom"/>
          </w:tcPr>
          <w:p>
            <w:pPr>
              <w:spacing w:after="0"/>
              <w:rPr>
                <w:sz w:val="24"/>
                <w:szCs w:val="24"/>
                <w:color w:val="auto"/>
              </w:rPr>
            </w:pPr>
          </w:p>
        </w:tc>
      </w:tr>
      <w:tr>
        <w:trPr>
          <w:trHeight w:val="786"/>
        </w:trPr>
        <w:tc>
          <w:tcPr>
            <w:tcW w:w="12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12"/>
        </w:trPr>
        <w:tc>
          <w:tcPr>
            <w:tcW w:w="10320" w:type="dxa"/>
            <w:vAlign w:val="bottom"/>
            <w:gridSpan w:val="2"/>
          </w:tcPr>
          <w:p>
            <w:pPr>
              <w:ind w:left="20"/>
              <w:spacing w:after="0"/>
              <w:rPr>
                <w:sz w:val="20"/>
                <w:szCs w:val="20"/>
                <w:color w:val="auto"/>
              </w:rPr>
            </w:pPr>
            <w:r>
              <w:rPr>
                <w:rFonts w:ascii="Arial" w:cs="Arial" w:eastAsia="Arial" w:hAnsi="Arial"/>
                <w:sz w:val="17"/>
                <w:szCs w:val="17"/>
                <w:color w:val="auto"/>
              </w:rPr>
              <w:t>Report of Independent Registered Public Accounting Firm (PCAOB Firm ID 238)</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F-2</w:t>
            </w:r>
          </w:p>
        </w:tc>
      </w:tr>
      <w:tr>
        <w:trPr>
          <w:trHeight w:val="219"/>
        </w:trPr>
        <w:tc>
          <w:tcPr>
            <w:tcW w:w="10320" w:type="dxa"/>
            <w:vAlign w:val="bottom"/>
            <w:gridSpan w:val="2"/>
          </w:tcPr>
          <w:p>
            <w:pPr>
              <w:ind w:left="20"/>
              <w:spacing w:after="0"/>
              <w:rPr>
                <w:sz w:val="20"/>
                <w:szCs w:val="20"/>
                <w:color w:val="auto"/>
              </w:rPr>
            </w:pPr>
            <w:r>
              <w:rPr>
                <w:rFonts w:ascii="Arial" w:cs="Arial" w:eastAsia="Arial" w:hAnsi="Arial"/>
                <w:sz w:val="17"/>
                <w:szCs w:val="17"/>
                <w:color w:val="auto"/>
              </w:rPr>
              <w:t>Consolidated Financial Statements:</w:t>
            </w:r>
          </w:p>
        </w:tc>
        <w:tc>
          <w:tcPr>
            <w:tcW w:w="920" w:type="dxa"/>
            <w:vAlign w:val="bottom"/>
          </w:tcPr>
          <w:p>
            <w:pPr>
              <w:spacing w:after="0"/>
              <w:rPr>
                <w:sz w:val="19"/>
                <w:szCs w:val="19"/>
                <w:color w:val="auto"/>
              </w:rPr>
            </w:pPr>
          </w:p>
        </w:tc>
      </w:tr>
      <w:tr>
        <w:trPr>
          <w:trHeight w:val="219"/>
        </w:trPr>
        <w:tc>
          <w:tcPr>
            <w:tcW w:w="10320" w:type="dxa"/>
            <w:vAlign w:val="bottom"/>
            <w:gridSpan w:val="2"/>
          </w:tcPr>
          <w:p>
            <w:pPr>
              <w:ind w:left="260"/>
              <w:spacing w:after="0"/>
              <w:rPr>
                <w:sz w:val="20"/>
                <w:szCs w:val="20"/>
                <w:color w:val="auto"/>
              </w:rPr>
            </w:pPr>
            <w:r>
              <w:rPr>
                <w:rFonts w:ascii="Arial" w:cs="Arial" w:eastAsia="Arial" w:hAnsi="Arial"/>
                <w:sz w:val="17"/>
                <w:szCs w:val="17"/>
                <w:color w:val="auto"/>
              </w:rPr>
              <w:t>Consolidated Balance Sheets</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F-4</w:t>
            </w:r>
          </w:p>
        </w:tc>
      </w:tr>
      <w:tr>
        <w:trPr>
          <w:trHeight w:val="219"/>
        </w:trPr>
        <w:tc>
          <w:tcPr>
            <w:tcW w:w="10320" w:type="dxa"/>
            <w:vAlign w:val="bottom"/>
            <w:gridSpan w:val="2"/>
          </w:tcPr>
          <w:p>
            <w:pPr>
              <w:ind w:left="260"/>
              <w:spacing w:after="0"/>
              <w:rPr>
                <w:sz w:val="20"/>
                <w:szCs w:val="20"/>
                <w:color w:val="auto"/>
              </w:rPr>
            </w:pPr>
            <w:r>
              <w:rPr>
                <w:rFonts w:ascii="Arial" w:cs="Arial" w:eastAsia="Arial" w:hAnsi="Arial"/>
                <w:sz w:val="17"/>
                <w:szCs w:val="17"/>
                <w:color w:val="auto"/>
              </w:rPr>
              <w:t>Consolidated Statements of Operations and Comprehensive Loss</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F-5</w:t>
            </w:r>
          </w:p>
        </w:tc>
      </w:tr>
      <w:tr>
        <w:trPr>
          <w:trHeight w:val="219"/>
        </w:trPr>
        <w:tc>
          <w:tcPr>
            <w:tcW w:w="10320" w:type="dxa"/>
            <w:vAlign w:val="bottom"/>
            <w:gridSpan w:val="2"/>
          </w:tcPr>
          <w:p>
            <w:pPr>
              <w:ind w:left="260"/>
              <w:spacing w:after="0"/>
              <w:rPr>
                <w:sz w:val="20"/>
                <w:szCs w:val="20"/>
                <w:color w:val="auto"/>
              </w:rPr>
            </w:pPr>
            <w:r>
              <w:rPr>
                <w:rFonts w:ascii="Arial" w:cs="Arial" w:eastAsia="Arial" w:hAnsi="Arial"/>
                <w:sz w:val="17"/>
                <w:szCs w:val="17"/>
                <w:color w:val="auto"/>
              </w:rPr>
              <w:t>Consolidated Statements of Redeemable Convertible Preferred Stock and Stockholders’ Equity (Deficit)</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F-6</w:t>
            </w:r>
          </w:p>
        </w:tc>
      </w:tr>
      <w:tr>
        <w:trPr>
          <w:trHeight w:val="219"/>
        </w:trPr>
        <w:tc>
          <w:tcPr>
            <w:tcW w:w="10320" w:type="dxa"/>
            <w:vAlign w:val="bottom"/>
            <w:gridSpan w:val="2"/>
          </w:tcPr>
          <w:p>
            <w:pPr>
              <w:ind w:left="260"/>
              <w:spacing w:after="0"/>
              <w:rPr>
                <w:sz w:val="20"/>
                <w:szCs w:val="20"/>
                <w:color w:val="auto"/>
              </w:rPr>
            </w:pPr>
            <w:r>
              <w:rPr>
                <w:rFonts w:ascii="Arial" w:cs="Arial" w:eastAsia="Arial" w:hAnsi="Arial"/>
                <w:sz w:val="17"/>
                <w:szCs w:val="17"/>
                <w:color w:val="auto"/>
              </w:rPr>
              <w:t>Consolidated Statements of Cash Flows</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F-7</w:t>
            </w:r>
          </w:p>
        </w:tc>
      </w:tr>
      <w:tr>
        <w:trPr>
          <w:trHeight w:val="219"/>
        </w:trPr>
        <w:tc>
          <w:tcPr>
            <w:tcW w:w="10320" w:type="dxa"/>
            <w:vAlign w:val="bottom"/>
            <w:gridSpan w:val="2"/>
          </w:tcPr>
          <w:p>
            <w:pPr>
              <w:ind w:left="20"/>
              <w:spacing w:after="0"/>
              <w:rPr>
                <w:sz w:val="20"/>
                <w:szCs w:val="20"/>
                <w:color w:val="auto"/>
              </w:rPr>
            </w:pPr>
            <w:r>
              <w:rPr>
                <w:rFonts w:ascii="Arial" w:cs="Arial" w:eastAsia="Arial" w:hAnsi="Arial"/>
                <w:sz w:val="17"/>
                <w:szCs w:val="17"/>
                <w:color w:val="auto"/>
              </w:rPr>
              <w:t>Notes to Consolidated Financial Statements</w:t>
            </w:r>
          </w:p>
        </w:tc>
        <w:tc>
          <w:tcPr>
            <w:tcW w:w="920" w:type="dxa"/>
            <w:vAlign w:val="bottom"/>
          </w:tcPr>
          <w:p>
            <w:pPr>
              <w:jc w:val="center"/>
              <w:spacing w:after="0"/>
              <w:rPr>
                <w:sz w:val="20"/>
                <w:szCs w:val="20"/>
                <w:color w:val="auto"/>
              </w:rPr>
            </w:pPr>
            <w:r>
              <w:rPr>
                <w:rFonts w:ascii="Arial" w:cs="Arial" w:eastAsia="Arial" w:hAnsi="Arial"/>
                <w:sz w:val="17"/>
                <w:szCs w:val="17"/>
                <w:color w:val="auto"/>
                <w:w w:val="93"/>
              </w:rPr>
              <w:t>F-9</w:t>
            </w:r>
          </w:p>
        </w:tc>
      </w:tr>
      <w:tr>
        <w:trPr>
          <w:trHeight w:val="864"/>
        </w:trPr>
        <w:tc>
          <w:tcPr>
            <w:tcW w:w="1220" w:type="dxa"/>
            <w:vAlign w:val="bottom"/>
          </w:tcPr>
          <w:p>
            <w:pPr>
              <w:spacing w:after="0"/>
              <w:rPr>
                <w:sz w:val="24"/>
                <w:szCs w:val="24"/>
                <w:color w:val="auto"/>
              </w:rPr>
            </w:pPr>
          </w:p>
        </w:tc>
        <w:tc>
          <w:tcPr>
            <w:tcW w:w="9100" w:type="dxa"/>
            <w:vAlign w:val="bottom"/>
          </w:tcPr>
          <w:p>
            <w:pPr>
              <w:jc w:val="center"/>
              <w:ind w:right="214"/>
              <w:spacing w:after="0"/>
              <w:rPr>
                <w:sz w:val="20"/>
                <w:szCs w:val="20"/>
                <w:color w:val="auto"/>
              </w:rPr>
            </w:pPr>
            <w:r>
              <w:rPr>
                <w:rFonts w:ascii="Arial" w:cs="Arial" w:eastAsia="Arial" w:hAnsi="Arial"/>
                <w:sz w:val="17"/>
                <w:szCs w:val="17"/>
                <w:color w:val="auto"/>
                <w:w w:val="93"/>
              </w:rPr>
              <w:t>F-1</w:t>
            </w:r>
          </w:p>
        </w:tc>
        <w:tc>
          <w:tcPr>
            <w:tcW w:w="920" w:type="dxa"/>
            <w:vAlign w:val="bottom"/>
          </w:tcPr>
          <w:p>
            <w:pPr>
              <w:spacing w:after="0"/>
              <w:rPr>
                <w:sz w:val="24"/>
                <w:szCs w:val="24"/>
                <w:color w:val="auto"/>
              </w:rPr>
            </w:pPr>
          </w:p>
        </w:tc>
      </w:tr>
      <w:tr>
        <w:trPr>
          <w:trHeight w:val="110"/>
        </w:trPr>
        <w:tc>
          <w:tcPr>
            <w:tcW w:w="1220" w:type="dxa"/>
            <w:vAlign w:val="bottom"/>
            <w:tcBorders>
              <w:bottom w:val="single" w:sz="8" w:color="9A9A9A"/>
            </w:tcBorders>
          </w:tcPr>
          <w:p>
            <w:pPr>
              <w:spacing w:after="0"/>
              <w:rPr>
                <w:sz w:val="9"/>
                <w:szCs w:val="9"/>
                <w:color w:val="auto"/>
              </w:rPr>
            </w:pPr>
          </w:p>
        </w:tc>
        <w:tc>
          <w:tcPr>
            <w:tcW w:w="9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 PROCEPT BioRobotics Corporation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4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 xml:space="preserve">We have audited the accompanying consolidated balance sheets of PROCEPT BioRobotics Corporation and its subsidiaries (the “Company”) as of December 31, 2022 and 2021,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9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COSO.</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4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1"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43"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37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AquaBeam Robotic Systems Revenue Recognition</w:t>
      </w:r>
    </w:p>
    <w:p>
      <w:pPr>
        <w:spacing w:after="0" w:line="24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As described in Notes 2 and 10 to the consolidated financial statements, for the year ended December 31, 2022, the Company recognized system sales and rentals revenue of $39.7 million, which the majority relates to AquaBeam Robotic Systems. The Company’s AquaBeam Robotic Systems sales generally contain multiple products and services and can include a combination of the following performance obligations: robotic system, handpieces and consumables, and service. The Company recognizes revenue as the performance obligations are satisfied by transferring control of the product or service to a customer. For AquaBeam Robotic Systems (including system components and system accessories) sold directly to end customers, revenue is recognized when the Company transfers control to the customer, which is generally at the time of delivery.</w:t>
      </w:r>
    </w:p>
    <w:p>
      <w:pPr>
        <w:spacing w:after="0" w:line="20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principal considerations for our determination that performing procedures relating to the AquaBeam Robotic Systems revenue recognition is a critical audit matter are the high degree of auditor subjectivity and effort in performing procedures and evaluating audit evidence related to the AquaBeam Robotic Systems revenue recognition.</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evaluating the recognition of revenue on a sample basis by (i) evaluating the terms of master service agreements and related contracts, (ii) identifying and assessing performance obligations, and (iii) obtaining and evaluating the underlying purchase orders, shipping documents, invoices, and payment support, as applicable.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February 28, 2023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2020.</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282" w:right="37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PROCEPT BioRobotics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6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r>
      <w:tr>
        <w:trPr>
          <w:trHeight w:val="24"/>
        </w:trPr>
        <w:tc>
          <w:tcPr>
            <w:tcW w:w="8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8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r>
      <w:tr>
        <w:trPr>
          <w:trHeight w:val="19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221,859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304,320</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Restricted cash, current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777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4,464</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Inventory</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28,543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13,147</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4,242</w:t>
            </w:r>
          </w:p>
        </w:tc>
      </w:tr>
      <w:tr>
        <w:trPr>
          <w:trHeight w:val="177"/>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Total current assets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272,626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326,173</w:t>
            </w:r>
          </w:p>
        </w:tc>
      </w:tr>
      <w:tr>
        <w:trPr>
          <w:trHeight w:val="20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Restricted cash, non-current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Property and equipment, net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8,656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5,045</w:t>
            </w:r>
          </w:p>
        </w:tc>
      </w:tr>
      <w:tr>
        <w:trPr>
          <w:trHeight w:val="20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net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3,279</w:t>
            </w: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Intangible assets, net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1,477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Total assets</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309,329</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337,024</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59"/>
        </w:trPr>
        <w:tc>
          <w:tcPr>
            <w:tcW w:w="81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rPr>
              <w:t>Liabilities and Stockholders' Equity (Deficit)</w:t>
            </w:r>
          </w:p>
        </w:tc>
        <w:tc>
          <w:tcPr>
            <w:tcW w:w="9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Current liabilities:</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2,029</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Accrued compensation</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13,447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6,475</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Operating leases, current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2,105</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9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7,468</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4,608</w:t>
            </w:r>
          </w:p>
        </w:tc>
      </w:tr>
      <w:tr>
        <w:trPr>
          <w:trHeight w:val="177"/>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Total current liabilities</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35,290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16,242</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51,213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50,004</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Operating leases, non-current</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23,975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1,991</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 facility derivative liability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w:t>
            </w:r>
          </w:p>
        </w:tc>
      </w:tr>
      <w:tr>
        <w:trPr>
          <w:trHeight w:val="186"/>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Other non-current liabilities</w:t>
            </w:r>
          </w:p>
        </w:tc>
        <w:tc>
          <w:tcPr>
            <w:tcW w:w="9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93"/>
        </w:trPr>
        <w:tc>
          <w:tcPr>
            <w:tcW w:w="818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Total liabilities</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112,257</w:t>
            </w: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69,933</w:t>
            </w:r>
          </w:p>
        </w:tc>
      </w:tr>
      <w:tr>
        <w:trPr>
          <w:trHeight w:val="164"/>
        </w:trPr>
        <w:tc>
          <w:tcPr>
            <w:tcW w:w="81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Commitments and contingencies (Note 11)</w:t>
            </w: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Preferred stock, $0.00001 par value;</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Authorized shares: 10,000 at December 31, 2022 and 2021, respectively</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Issued and outstanding shares: none at December 31, 2022 and 2021</w:t>
            </w:r>
          </w:p>
        </w:tc>
        <w:tc>
          <w:tcPr>
            <w:tcW w:w="90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Common stock, $0.00001 par value;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184"/>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Authorized shares: 300,000 at December 31, 2022 and 2021, respectively</w:t>
            </w: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818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Issued and outstanding shares: 44,828 and 43,676 at December 31, 2022 and 2021, respectively</w:t>
            </w:r>
          </w:p>
        </w:tc>
        <w:tc>
          <w:tcPr>
            <w:tcW w:w="9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4"/>
        </w:trPr>
        <w:tc>
          <w:tcPr>
            <w:tcW w:w="8180" w:type="dxa"/>
            <w:vAlign w:val="bottom"/>
            <w:gridSpan w:val="2"/>
          </w:tcPr>
          <w:p>
            <w:pPr>
              <w:ind w:left="220"/>
              <w:spacing w:after="0"/>
              <w:rPr>
                <w:sz w:val="20"/>
                <w:szCs w:val="20"/>
                <w:color w:val="auto"/>
              </w:rPr>
            </w:pPr>
            <w:r>
              <w:rPr>
                <w:rFonts w:ascii="Arial" w:cs="Arial" w:eastAsia="Arial" w:hAnsi="Arial"/>
                <w:sz w:val="14"/>
                <w:szCs w:val="14"/>
                <w:color w:val="auto"/>
              </w:rPr>
              <w:t>Additional paid-in capital</w:t>
            </w:r>
          </w:p>
        </w:tc>
        <w:tc>
          <w:tcPr>
            <w:tcW w:w="9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545,753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528,666</w:t>
            </w:r>
          </w:p>
        </w:tc>
      </w:tr>
      <w:tr>
        <w:trPr>
          <w:trHeight w:val="203"/>
        </w:trPr>
        <w:tc>
          <w:tcPr>
            <w:tcW w:w="81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6"/>
        </w:trPr>
        <w:tc>
          <w:tcPr>
            <w:tcW w:w="8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Accumulated deficit</w:t>
            </w: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(348,675)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(261,521)</w:t>
            </w:r>
          </w:p>
        </w:tc>
      </w:tr>
      <w:tr>
        <w:trPr>
          <w:trHeight w:val="18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9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197,072</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267,091</w:t>
            </w:r>
          </w:p>
        </w:tc>
      </w:tr>
      <w:tr>
        <w:trPr>
          <w:trHeight w:val="193"/>
        </w:trPr>
        <w:tc>
          <w:tcPr>
            <w:tcW w:w="8180" w:type="dxa"/>
            <w:vAlign w:val="bottom"/>
            <w:gridSpan w:val="2"/>
          </w:tcPr>
          <w:p>
            <w:pPr>
              <w:ind w:left="440"/>
              <w:spacing w:after="0"/>
              <w:rPr>
                <w:sz w:val="20"/>
                <w:szCs w:val="20"/>
                <w:color w:val="auto"/>
              </w:rPr>
            </w:pPr>
            <w:r>
              <w:rPr>
                <w:rFonts w:ascii="Arial" w:cs="Arial" w:eastAsia="Arial" w:hAnsi="Arial"/>
                <w:sz w:val="14"/>
                <w:szCs w:val="14"/>
                <w:color w:val="auto"/>
              </w:rPr>
              <w:t>Total liabilities and stockholders’ equity</w:t>
            </w:r>
          </w:p>
        </w:tc>
        <w:tc>
          <w:tcPr>
            <w:tcW w:w="90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309,329</w:t>
            </w:r>
          </w:p>
        </w:tc>
        <w:tc>
          <w:tcPr>
            <w:tcW w:w="80" w:type="dxa"/>
            <w:vAlign w:val="bottom"/>
          </w:tcPr>
          <w:p>
            <w:pPr>
              <w:spacing w:after="0"/>
              <w:rPr>
                <w:sz w:val="16"/>
                <w:szCs w:val="16"/>
                <w:color w:val="auto"/>
              </w:rPr>
            </w:pPr>
          </w:p>
        </w:tc>
        <w:tc>
          <w:tcPr>
            <w:tcW w:w="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337,024</w:t>
            </w:r>
          </w:p>
        </w:tc>
      </w:tr>
      <w:tr>
        <w:trPr>
          <w:trHeight w:val="20"/>
        </w:trPr>
        <w:tc>
          <w:tcPr>
            <w:tcW w:w="8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PROCEPT BioRobotics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AND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2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40" w:type="dxa"/>
            <w:vAlign w:val="bottom"/>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75,014</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34,473</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sales</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37,929</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18,608</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profit</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37,085</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15,865</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Research and development</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18,993</w:t>
            </w: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Selling, general and administrative</w:t>
            </w:r>
          </w:p>
        </w:tc>
        <w:tc>
          <w:tcPr>
            <w:tcW w:w="9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88,828</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51,036</w:t>
            </w:r>
          </w:p>
        </w:tc>
        <w:tc>
          <w:tcPr>
            <w:tcW w:w="0" w:type="dxa"/>
            <w:vAlign w:val="bottom"/>
          </w:tcPr>
          <w:p>
            <w:pPr>
              <w:spacing w:after="0"/>
              <w:rPr>
                <w:sz w:val="1"/>
                <w:szCs w:val="1"/>
                <w:color w:val="auto"/>
              </w:rPr>
            </w:pPr>
          </w:p>
        </w:tc>
      </w:tr>
      <w:tr>
        <w:trPr>
          <w:trHeight w:val="193"/>
        </w:trPr>
        <w:tc>
          <w:tcPr>
            <w:tcW w:w="81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operating expenses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117,809</w:t>
            </w:r>
          </w:p>
        </w:tc>
        <w:tc>
          <w:tcPr>
            <w:tcW w:w="8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70,029</w:t>
            </w:r>
          </w:p>
        </w:tc>
        <w:tc>
          <w:tcPr>
            <w:tcW w:w="0" w:type="dxa"/>
            <w:vAlign w:val="bottom"/>
          </w:tcPr>
          <w:p>
            <w:pPr>
              <w:spacing w:after="0"/>
              <w:rPr>
                <w:sz w:val="1"/>
                <w:szCs w:val="1"/>
                <w:color w:val="auto"/>
              </w:rPr>
            </w:pPr>
          </w:p>
        </w:tc>
      </w:tr>
      <w:tr>
        <w:trPr>
          <w:trHeight w:val="177"/>
        </w:trPr>
        <w:tc>
          <w:tcPr>
            <w:tcW w:w="818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5"/>
              </w:rPr>
              <w:t>(80,724)</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(54,164)</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(5,183)</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(5,810)</w:t>
            </w:r>
          </w:p>
        </w:tc>
        <w:tc>
          <w:tcPr>
            <w:tcW w:w="0" w:type="dxa"/>
            <w:vAlign w:val="bottom"/>
          </w:tcPr>
          <w:p>
            <w:pPr>
              <w:spacing w:after="0"/>
              <w:rPr>
                <w:sz w:val="1"/>
                <w:szCs w:val="1"/>
                <w:color w:val="auto"/>
              </w:rPr>
            </w:pPr>
          </w:p>
        </w:tc>
      </w:tr>
      <w:tr>
        <w:trPr>
          <w:trHeight w:val="184"/>
        </w:trPr>
        <w:tc>
          <w:tcPr>
            <w:tcW w:w="8180" w:type="dxa"/>
            <w:vAlign w:val="bottom"/>
          </w:tcPr>
          <w:p>
            <w:pPr>
              <w:ind w:left="20"/>
              <w:spacing w:after="0"/>
              <w:rPr>
                <w:sz w:val="20"/>
                <w:szCs w:val="20"/>
                <w:color w:val="auto"/>
              </w:rPr>
            </w:pPr>
            <w:r>
              <w:rPr>
                <w:rFonts w:ascii="Arial" w:cs="Arial" w:eastAsia="Arial" w:hAnsi="Arial"/>
                <w:sz w:val="14"/>
                <w:szCs w:val="14"/>
                <w:color w:val="auto"/>
              </w:rPr>
              <w:t>Interest and other income, net</w:t>
            </w: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on loan extinguishment</w:t>
            </w: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8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1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auto"/>
            </w:tcBorders>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(87,154)</w:t>
            </w:r>
          </w:p>
        </w:tc>
        <w:tc>
          <w:tcPr>
            <w:tcW w:w="80" w:type="dxa"/>
            <w:vAlign w:val="bottom"/>
          </w:tcPr>
          <w:p>
            <w:pPr>
              <w:spacing w:after="0"/>
              <w:rPr>
                <w:sz w:val="16"/>
                <w:szCs w:val="16"/>
                <w:color w:val="auto"/>
              </w:rPr>
            </w:pPr>
          </w:p>
        </w:tc>
        <w:tc>
          <w:tcPr>
            <w:tcW w:w="94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(59,853)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940" w:type="dxa"/>
            <w:vAlign w:val="bottom"/>
            <w:tcBorders>
              <w:bottom w:val="single" w:sz="8" w:color="auto"/>
            </w:tcBorders>
            <w:shd w:val="clear" w:color="auto" w:fill="CCEEFF"/>
          </w:tcPr>
          <w:p>
            <w:pPr>
              <w:jc w:val="right"/>
              <w:ind w:right="771"/>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common shares used to</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18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compute net loss per share attributable to</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82" w:right="339" w:bottom="1440" w:gutter="0" w:footer="0" w:header="0"/>
        </w:sectPr>
      </w:pPr>
    </w:p>
    <w:p>
      <w:pPr>
        <w:spacing w:after="0" w:line="19" w:lineRule="exact"/>
        <w:rPr>
          <w:sz w:val="20"/>
          <w:szCs w:val="20"/>
          <w:color w:val="auto"/>
        </w:rPr>
      </w:pPr>
    </w:p>
    <w:p>
      <w:pPr>
        <w:ind w:left="220"/>
        <w:spacing w:after="0"/>
        <w:rPr>
          <w:sz w:val="20"/>
          <w:szCs w:val="20"/>
          <w:color w:val="auto"/>
        </w:rPr>
      </w:pPr>
      <w:r>
        <w:rPr>
          <w:rFonts w:ascii="Arial" w:cs="Arial" w:eastAsia="Arial" w:hAnsi="Arial"/>
          <w:sz w:val="11"/>
          <w:szCs w:val="11"/>
          <w:color w:val="auto"/>
        </w:rPr>
        <w:t>common shareholders, basic and diluted</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gain (loss):</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1"/>
          <w:szCs w:val="11"/>
          <w:color w:val="auto"/>
        </w:rPr>
        <w:t>Unrealized gain (loss) on cash equivalents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Comprehensive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44,400</w:t>
            </w:r>
          </w:p>
        </w:tc>
        <w:tc>
          <w:tcPr>
            <w:tcW w:w="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16,480</w:t>
            </w:r>
          </w:p>
        </w:tc>
      </w:tr>
      <w:tr>
        <w:trPr>
          <w:trHeight w:val="26"/>
        </w:trPr>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29"/>
        </w:trPr>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4"/>
        </w:trPr>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79"/>
        </w:trPr>
        <w:tc>
          <w:tcPr>
            <w:tcW w:w="5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(87,106)</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(59,893)</w:t>
            </w:r>
          </w:p>
        </w:tc>
      </w:tr>
      <w:tr>
        <w:trPr>
          <w:trHeight w:val="26"/>
        </w:trPr>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-5191760</wp:posOffset>
            </wp:positionH>
            <wp:positionV relativeFrom="paragraph">
              <wp:posOffset>-408940</wp:posOffset>
            </wp:positionV>
            <wp:extent cx="7138670" cy="1225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22555"/>
                    </a:xfrm>
                    <a:prstGeom prst="rect">
                      <a:avLst/>
                    </a:prstGeom>
                    <a:noFill/>
                  </pic:spPr>
                </pic:pic>
              </a:graphicData>
            </a:graphic>
          </wp:anchor>
        </w:drawing>
        <w:drawing>
          <wp:anchor simplePos="0" relativeHeight="251657728" behindDoc="1" locked="0" layoutInCell="0" allowOverlap="1">
            <wp:simplePos x="0" y="0"/>
            <wp:positionH relativeFrom="column">
              <wp:posOffset>-5191760</wp:posOffset>
            </wp:positionH>
            <wp:positionV relativeFrom="paragraph">
              <wp:posOffset>-163195</wp:posOffset>
            </wp:positionV>
            <wp:extent cx="7138670" cy="147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3060"/>
          </w:cols>
          <w:pgMar w:left="320" w:top="282" w:right="33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PROCEPT BioRobotics Corporation</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CONSOLIDATED STATEMENTS OF REDEEMABLE CONVERTIBLE PREFERRED STOCK AND STOCKHOLDERS’ EQUITY (DEFICIT)</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4"/>
              </w:rPr>
              <w:t>Redeemable</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center"/>
              <w:ind w:left="5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120" w:type="dxa"/>
            <w:vAlign w:val="bottom"/>
            <w:tcBorders>
              <w:right w:val="single" w:sz="8" w:color="auto"/>
            </w:tcBorders>
            <w:gridSpan w:val="5"/>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0"/>
              </w:rPr>
              <w:t>Convertible</w:t>
            </w:r>
          </w:p>
        </w:tc>
        <w:tc>
          <w:tcPr>
            <w:tcW w:w="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212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6"/>
                <w:szCs w:val="6"/>
                <w:color w:val="auto"/>
              </w:rPr>
            </w:pPr>
          </w:p>
        </w:tc>
        <w:tc>
          <w:tcPr>
            <w:tcW w:w="980" w:type="dxa"/>
            <w:vAlign w:val="bottom"/>
            <w:gridSpan w:val="2"/>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restart"/>
          </w:tcPr>
          <w:p>
            <w:pPr>
              <w:jc w:val="right"/>
              <w:spacing w:after="0" w:line="139" w:lineRule="exact"/>
              <w:rPr>
                <w:sz w:val="20"/>
                <w:szCs w:val="20"/>
                <w:color w:val="auto"/>
              </w:rPr>
            </w:pPr>
            <w:r>
              <w:rPr>
                <w:rFonts w:ascii="Arial" w:cs="Arial" w:eastAsia="Arial" w:hAnsi="Arial"/>
                <w:sz w:val="14"/>
                <w:szCs w:val="14"/>
                <w:b w:val="1"/>
                <w:bCs w:val="1"/>
                <w:color w:val="auto"/>
                <w:w w:val="83"/>
              </w:rPr>
              <w:t>Stockholder</w:t>
            </w:r>
          </w:p>
        </w:tc>
        <w:tc>
          <w:tcPr>
            <w:tcW w:w="0" w:type="dxa"/>
            <w:vAlign w:val="bottom"/>
          </w:tcPr>
          <w:p>
            <w:pPr>
              <w:spacing w:after="0"/>
              <w:rPr>
                <w:sz w:val="1"/>
                <w:szCs w:val="1"/>
                <w:color w:val="auto"/>
              </w:rPr>
            </w:pPr>
          </w:p>
        </w:tc>
      </w:tr>
      <w:tr>
        <w:trPr>
          <w:trHeight w:val="64"/>
        </w:trPr>
        <w:tc>
          <w:tcPr>
            <w:tcW w:w="2740" w:type="dxa"/>
            <w:vAlign w:val="bottom"/>
          </w:tcPr>
          <w:p>
            <w:pPr>
              <w:spacing w:after="0"/>
              <w:rPr>
                <w:sz w:val="5"/>
                <w:szCs w:val="5"/>
                <w:color w:val="auto"/>
              </w:rPr>
            </w:pPr>
          </w:p>
        </w:tc>
        <w:tc>
          <w:tcPr>
            <w:tcW w:w="20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0"/>
              </w:rPr>
              <w:t>Preferred Stock</w:t>
            </w:r>
          </w:p>
        </w:tc>
        <w:tc>
          <w:tcPr>
            <w:tcW w:w="100" w:type="dxa"/>
            <w:vAlign w:val="bottom"/>
            <w:tcBorders>
              <w:right w:val="single" w:sz="8" w:color="auto"/>
            </w:tcBorders>
            <w:vMerge w:val="restart"/>
          </w:tcPr>
          <w:p>
            <w:pPr>
              <w:spacing w:after="0"/>
              <w:rPr>
                <w:sz w:val="5"/>
                <w:szCs w:val="5"/>
                <w:color w:val="auto"/>
              </w:rPr>
            </w:pPr>
          </w:p>
        </w:tc>
        <w:tc>
          <w:tcPr>
            <w:tcW w:w="60" w:type="dxa"/>
            <w:vAlign w:val="bottom"/>
          </w:tcPr>
          <w:p>
            <w:pPr>
              <w:spacing w:after="0"/>
              <w:rPr>
                <w:sz w:val="5"/>
                <w:szCs w:val="5"/>
                <w:color w:val="auto"/>
              </w:rPr>
            </w:pPr>
          </w:p>
        </w:tc>
        <w:tc>
          <w:tcPr>
            <w:tcW w:w="1820" w:type="dxa"/>
            <w:vAlign w:val="bottom"/>
            <w:gridSpan w:val="3"/>
            <w:vMerge w:val="restart"/>
          </w:tcPr>
          <w:p>
            <w:pPr>
              <w:jc w:val="right"/>
              <w:ind w:right="291"/>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740" w:type="dxa"/>
            <w:vAlign w:val="bottom"/>
          </w:tcPr>
          <w:p>
            <w:pPr>
              <w:spacing w:after="0"/>
              <w:rPr>
                <w:sz w:val="10"/>
                <w:szCs w:val="10"/>
                <w:color w:val="auto"/>
              </w:rPr>
            </w:pPr>
          </w:p>
        </w:tc>
        <w:tc>
          <w:tcPr>
            <w:tcW w:w="2020" w:type="dxa"/>
            <w:vAlign w:val="bottom"/>
            <w:tcBorders>
              <w:bottom w:val="single" w:sz="8" w:color="auto"/>
            </w:tcBorders>
            <w:gridSpan w:val="4"/>
            <w:vMerge w:val="continue"/>
          </w:tcPr>
          <w:p>
            <w:pPr>
              <w:spacing w:after="0"/>
              <w:rPr>
                <w:sz w:val="10"/>
                <w:szCs w:val="10"/>
                <w:color w:val="auto"/>
              </w:rPr>
            </w:pPr>
          </w:p>
        </w:tc>
        <w:tc>
          <w:tcPr>
            <w:tcW w:w="1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tcPr>
          <w:p>
            <w:pPr>
              <w:jc w:val="center"/>
              <w:ind w:right="200"/>
              <w:spacing w:after="0" w:line="122"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tcPr>
          <w:p>
            <w:pPr>
              <w:jc w:val="center"/>
              <w:ind w:right="80"/>
              <w:spacing w:after="0" w:line="122" w:lineRule="exact"/>
              <w:rPr>
                <w:sz w:val="20"/>
                <w:szCs w:val="20"/>
                <w:color w:val="auto"/>
              </w:rPr>
            </w:pPr>
            <w:r>
              <w:rPr>
                <w:rFonts w:ascii="Arial" w:cs="Arial" w:eastAsia="Arial" w:hAnsi="Arial"/>
                <w:sz w:val="14"/>
                <w:szCs w:val="14"/>
                <w:b w:val="1"/>
                <w:bCs w:val="1"/>
                <w:color w:val="auto"/>
                <w:w w:val="87"/>
              </w:rPr>
              <w:t>Comprehensive</w:t>
            </w:r>
          </w:p>
        </w:tc>
        <w:tc>
          <w:tcPr>
            <w:tcW w:w="10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0"/>
                <w:szCs w:val="10"/>
                <w:color w:val="auto"/>
              </w:rPr>
            </w:pPr>
          </w:p>
        </w:tc>
        <w:tc>
          <w:tcPr>
            <w:tcW w:w="700" w:type="dxa"/>
            <w:vAlign w:val="bottom"/>
          </w:tcPr>
          <w:p>
            <w:pPr>
              <w:jc w:val="center"/>
              <w:ind w:left="71"/>
              <w:spacing w:after="0" w:line="122"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900" w:type="dxa"/>
            <w:vAlign w:val="bottom"/>
            <w:tcBorders>
              <w:right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79"/>
              </w:rPr>
              <w:t>Loss</w:t>
            </w:r>
          </w:p>
        </w:tc>
        <w:tc>
          <w:tcPr>
            <w:tcW w:w="10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700" w:type="dxa"/>
            <w:vAlign w:val="bottom"/>
          </w:tcPr>
          <w:p>
            <w:pPr>
              <w:jc w:val="center"/>
              <w:ind w:left="7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2"/>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25,402</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243,854</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4,713</w:t>
            </w:r>
          </w:p>
        </w:tc>
        <w:tc>
          <w:tcPr>
            <w:tcW w:w="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(201,668)</w:t>
            </w:r>
          </w:p>
        </w:tc>
        <w:tc>
          <w:tcPr>
            <w:tcW w:w="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36"/>
        </w:trPr>
        <w:tc>
          <w:tcPr>
            <w:tcW w:w="2740" w:type="dxa"/>
            <w:vAlign w:val="bottom"/>
          </w:tcPr>
          <w:p>
            <w:pPr>
              <w:ind w:left="220"/>
              <w:spacing w:after="0" w:line="137" w:lineRule="exact"/>
              <w:rPr>
                <w:sz w:val="20"/>
                <w:szCs w:val="20"/>
                <w:color w:val="auto"/>
              </w:rPr>
            </w:pPr>
            <w:r>
              <w:rPr>
                <w:rFonts w:ascii="Arial" w:cs="Arial" w:eastAsia="Arial" w:hAnsi="Arial"/>
                <w:sz w:val="14"/>
                <w:szCs w:val="14"/>
                <w:color w:val="auto"/>
                <w:w w:val="88"/>
              </w:rPr>
              <w:t>Issuance of redeemable convertible preferred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4,448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84,710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740" w:type="dxa"/>
            <w:vAlign w:val="bottom"/>
          </w:tcPr>
          <w:p>
            <w:pPr>
              <w:ind w:left="380"/>
              <w:spacing w:after="0"/>
              <w:rPr>
                <w:sz w:val="20"/>
                <w:szCs w:val="20"/>
                <w:color w:val="auto"/>
              </w:rPr>
            </w:pPr>
            <w:r>
              <w:rPr>
                <w:rFonts w:ascii="Arial" w:cs="Arial" w:eastAsia="Arial" w:hAnsi="Arial"/>
                <w:sz w:val="14"/>
                <w:szCs w:val="14"/>
                <w:color w:val="auto"/>
              </w:rPr>
              <w:t>stock, net of issuance costs of $290</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upon exercise of 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740" w:type="dxa"/>
            <w:vAlign w:val="bottom"/>
          </w:tcPr>
          <w:p>
            <w:pPr>
              <w:ind w:left="220"/>
              <w:spacing w:after="0" w:line="137" w:lineRule="exact"/>
              <w:rPr>
                <w:sz w:val="20"/>
                <w:szCs w:val="20"/>
                <w:color w:val="auto"/>
              </w:rPr>
            </w:pPr>
            <w:r>
              <w:rPr>
                <w:rFonts w:ascii="Arial" w:cs="Arial" w:eastAsia="Arial" w:hAnsi="Arial"/>
                <w:sz w:val="14"/>
                <w:szCs w:val="14"/>
                <w:color w:val="auto"/>
              </w:rPr>
              <w:t>Conversion of redeemable convertible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740" w:type="dxa"/>
            <w:vAlign w:val="bottom"/>
          </w:tcPr>
          <w:p>
            <w:pPr>
              <w:ind w:left="380"/>
              <w:spacing w:after="0" w:line="135" w:lineRule="exact"/>
              <w:rPr>
                <w:sz w:val="20"/>
                <w:szCs w:val="20"/>
                <w:color w:val="auto"/>
              </w:rPr>
            </w:pPr>
            <w:r>
              <w:rPr>
                <w:rFonts w:ascii="Arial" w:cs="Arial" w:eastAsia="Arial" w:hAnsi="Arial"/>
                <w:sz w:val="14"/>
                <w:szCs w:val="14"/>
                <w:color w:val="auto"/>
                <w:w w:val="98"/>
              </w:rPr>
              <w:t>preferred stock to common stock upon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(29,912)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(329,534)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29,912</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329,534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329,5</w:t>
            </w:r>
          </w:p>
        </w:tc>
        <w:tc>
          <w:tcPr>
            <w:tcW w:w="0" w:type="dxa"/>
            <w:vAlign w:val="bottom"/>
          </w:tcPr>
          <w:p>
            <w:pPr>
              <w:spacing w:after="0"/>
              <w:rPr>
                <w:sz w:val="1"/>
                <w:szCs w:val="1"/>
                <w:color w:val="auto"/>
              </w:rPr>
            </w:pPr>
          </w:p>
        </w:tc>
      </w:tr>
      <w:tr>
        <w:trPr>
          <w:trHeight w:val="184"/>
        </w:trPr>
        <w:tc>
          <w:tcPr>
            <w:tcW w:w="2740" w:type="dxa"/>
            <w:vAlign w:val="bottom"/>
          </w:tcPr>
          <w:p>
            <w:pPr>
              <w:ind w:left="380"/>
              <w:spacing w:after="0"/>
              <w:rPr>
                <w:sz w:val="20"/>
                <w:szCs w:val="20"/>
                <w:color w:val="auto"/>
              </w:rPr>
            </w:pPr>
            <w:r>
              <w:rPr>
                <w:rFonts w:ascii="Arial" w:cs="Arial" w:eastAsia="Arial" w:hAnsi="Arial"/>
                <w:sz w:val="14"/>
                <w:szCs w:val="14"/>
                <w:color w:val="auto"/>
              </w:rPr>
              <w:t>initial public offering</w:t>
            </w:r>
          </w:p>
        </w:tc>
        <w:tc>
          <w:tcPr>
            <w:tcW w:w="9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740" w:type="dxa"/>
            <w:vAlign w:val="bottom"/>
            <w:shd w:val="clear" w:color="auto" w:fill="CCEEFF"/>
          </w:tcPr>
          <w:p>
            <w:pPr>
              <w:ind w:left="220"/>
              <w:spacing w:after="0" w:line="146" w:lineRule="exact"/>
              <w:rPr>
                <w:sz w:val="20"/>
                <w:szCs w:val="20"/>
                <w:color w:val="auto"/>
              </w:rPr>
            </w:pPr>
            <w:r>
              <w:rPr>
                <w:rFonts w:ascii="Arial" w:cs="Arial" w:eastAsia="Arial" w:hAnsi="Arial"/>
                <w:sz w:val="14"/>
                <w:szCs w:val="14"/>
                <w:color w:val="auto"/>
                <w:w w:val="90"/>
              </w:rPr>
              <w:t>Issuance of common stock upon initial public</w:t>
            </w: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40" w:type="dxa"/>
            <w:vAlign w:val="bottom"/>
            <w:shd w:val="clear" w:color="auto" w:fill="CCEEFF"/>
          </w:tcPr>
          <w:p>
            <w:pPr>
              <w:ind w:left="380"/>
              <w:spacing w:after="0" w:line="135" w:lineRule="exact"/>
              <w:rPr>
                <w:sz w:val="20"/>
                <w:szCs w:val="20"/>
                <w:color w:val="auto"/>
              </w:rPr>
            </w:pPr>
            <w:r>
              <w:rPr>
                <w:rFonts w:ascii="Arial" w:cs="Arial" w:eastAsia="Arial" w:hAnsi="Arial"/>
                <w:sz w:val="14"/>
                <w:szCs w:val="14"/>
                <w:color w:val="auto"/>
                <w:w w:val="98"/>
              </w:rPr>
              <w:t>offering, net of underwriting discounts,</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740" w:type="dxa"/>
            <w:vAlign w:val="bottom"/>
            <w:shd w:val="clear" w:color="auto" w:fill="CCEEFF"/>
          </w:tcPr>
          <w:p>
            <w:pPr>
              <w:ind w:left="380"/>
              <w:spacing w:after="0" w:line="137" w:lineRule="exact"/>
              <w:rPr>
                <w:sz w:val="20"/>
                <w:szCs w:val="20"/>
                <w:color w:val="auto"/>
              </w:rPr>
            </w:pPr>
            <w:r>
              <w:rPr>
                <w:rFonts w:ascii="Arial" w:cs="Arial" w:eastAsia="Arial" w:hAnsi="Arial"/>
                <w:sz w:val="14"/>
                <w:szCs w:val="14"/>
                <w:color w:val="auto"/>
                <w:w w:val="98"/>
              </w:rPr>
              <w:t>commissions and offering expenses of</w:t>
            </w: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$16,121</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172,364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84"/>
        </w:trPr>
        <w:tc>
          <w:tcPr>
            <w:tcW w:w="2740" w:type="dxa"/>
            <w:vAlign w:val="bottom"/>
          </w:tcPr>
          <w:p>
            <w:pPr>
              <w:ind w:left="220"/>
              <w:spacing w:after="0"/>
              <w:rPr>
                <w:sz w:val="20"/>
                <w:szCs w:val="20"/>
                <w:color w:val="auto"/>
              </w:rPr>
            </w:pPr>
            <w:r>
              <w:rPr>
                <w:rFonts w:ascii="Arial" w:cs="Arial" w:eastAsia="Arial" w:hAnsi="Arial"/>
                <w:sz w:val="14"/>
                <w:szCs w:val="14"/>
                <w:color w:val="auto"/>
                <w:w w:val="89"/>
              </w:rPr>
              <w:t>Issuance of common stock under stock plans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1,512</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4"/>
        </w:trPr>
        <w:tc>
          <w:tcPr>
            <w:tcW w:w="2740" w:type="dxa"/>
            <w:vAlign w:val="bottom"/>
          </w:tcPr>
          <w:p>
            <w:pPr>
              <w:ind w:left="220"/>
              <w:spacing w:after="0"/>
              <w:rPr>
                <w:sz w:val="20"/>
                <w:szCs w:val="20"/>
                <w:color w:val="auto"/>
              </w:rPr>
            </w:pPr>
            <w:r>
              <w:rPr>
                <w:rFonts w:ascii="Arial" w:cs="Arial" w:eastAsia="Arial" w:hAnsi="Arial"/>
                <w:sz w:val="14"/>
                <w:szCs w:val="14"/>
                <w:color w:val="auto"/>
              </w:rPr>
              <w:t>Unrealized loss on cash equivalents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(59,853)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77"/>
        </w:trPr>
        <w:tc>
          <w:tcPr>
            <w:tcW w:w="2740" w:type="dxa"/>
            <w:vAlign w:val="bottom"/>
          </w:tcPr>
          <w:p>
            <w:pPr>
              <w:spacing w:after="0"/>
              <w:rPr>
                <w:sz w:val="20"/>
                <w:szCs w:val="20"/>
                <w:color w:val="auto"/>
              </w:rPr>
            </w:pPr>
            <w:r>
              <w:rPr>
                <w:rFonts w:ascii="Arial" w:cs="Arial" w:eastAsia="Arial" w:hAnsi="Arial"/>
                <w:sz w:val="14"/>
                <w:szCs w:val="14"/>
                <w:color w:val="auto"/>
              </w:rPr>
              <w:t>Balance at December 31, 2021</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43,676</w:t>
            </w:r>
          </w:p>
        </w:tc>
        <w:tc>
          <w:tcPr>
            <w:tcW w:w="8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528,666</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(261,521)</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267,0</w:t>
            </w: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w w:val="89"/>
              </w:rPr>
              <w:t>Issuance of common stock under stock plans</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6"/>
        </w:trPr>
        <w:tc>
          <w:tcPr>
            <w:tcW w:w="2740" w:type="dxa"/>
            <w:vAlign w:val="bottom"/>
          </w:tcPr>
          <w:p>
            <w:pPr>
              <w:ind w:left="220"/>
              <w:spacing w:after="0" w:line="137" w:lineRule="exact"/>
              <w:rPr>
                <w:sz w:val="20"/>
                <w:szCs w:val="20"/>
                <w:color w:val="auto"/>
              </w:rPr>
            </w:pPr>
            <w:r>
              <w:rPr>
                <w:rFonts w:ascii="Arial" w:cs="Arial" w:eastAsia="Arial" w:hAnsi="Arial"/>
                <w:sz w:val="14"/>
                <w:szCs w:val="14"/>
                <w:color w:val="auto"/>
              </w:rPr>
              <w:t>Shares issued under employee stock</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90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110</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gridSpan w:val="2"/>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2,409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0"/>
        </w:trPr>
        <w:tc>
          <w:tcPr>
            <w:tcW w:w="2740" w:type="dxa"/>
            <w:vAlign w:val="bottom"/>
          </w:tcPr>
          <w:p>
            <w:pPr>
              <w:ind w:left="380"/>
              <w:spacing w:after="0"/>
              <w:rPr>
                <w:sz w:val="20"/>
                <w:szCs w:val="20"/>
                <w:color w:val="auto"/>
              </w:rPr>
            </w:pPr>
            <w:r>
              <w:rPr>
                <w:rFonts w:ascii="Arial" w:cs="Arial" w:eastAsia="Arial" w:hAnsi="Arial"/>
                <w:sz w:val="14"/>
                <w:szCs w:val="14"/>
                <w:color w:val="auto"/>
              </w:rPr>
              <w:t>purchase plan</w:t>
            </w: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4"/>
        </w:trPr>
        <w:tc>
          <w:tcPr>
            <w:tcW w:w="2740" w:type="dxa"/>
            <w:vAlign w:val="bottom"/>
          </w:tcPr>
          <w:p>
            <w:pPr>
              <w:ind w:left="220"/>
              <w:spacing w:after="0"/>
              <w:rPr>
                <w:sz w:val="20"/>
                <w:szCs w:val="20"/>
                <w:color w:val="auto"/>
              </w:rPr>
            </w:pPr>
            <w:r>
              <w:rPr>
                <w:rFonts w:ascii="Arial" w:cs="Arial" w:eastAsia="Arial" w:hAnsi="Arial"/>
                <w:sz w:val="14"/>
                <w:szCs w:val="14"/>
                <w:color w:val="auto"/>
              </w:rPr>
              <w:t>Unrealized gain on cash equivalents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30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ind w:left="70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(87,154)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20"/>
                <w:szCs w:val="20"/>
                <w:color w:val="auto"/>
              </w:rPr>
            </w:pPr>
            <w:r>
              <w:rPr>
                <w:rFonts w:ascii="Arial" w:cs="Arial" w:eastAsia="Arial" w:hAnsi="Arial"/>
                <w:sz w:val="14"/>
                <w:szCs w:val="14"/>
                <w:color w:val="auto"/>
              </w:rPr>
              <w:t>Balance at December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44,828</w:t>
            </w:r>
          </w:p>
        </w:tc>
        <w:tc>
          <w:tcPr>
            <w:tcW w:w="8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545,753</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(348,675)</w:t>
            </w:r>
          </w:p>
        </w:tc>
        <w:tc>
          <w:tcPr>
            <w:tcW w:w="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282"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PROCEPT BioRobotics Corporation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20" w:type="dxa"/>
            <w:vAlign w:val="bottom"/>
          </w:tcPr>
          <w:p>
            <w:pPr>
              <w:spacing w:after="0"/>
              <w:rPr>
                <w:sz w:val="15"/>
                <w:szCs w:val="15"/>
                <w:color w:val="auto"/>
              </w:rPr>
            </w:pPr>
          </w:p>
        </w:tc>
        <w:tc>
          <w:tcPr>
            <w:tcW w:w="23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42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(87,154)</w:t>
            </w:r>
          </w:p>
        </w:tc>
        <w:tc>
          <w:tcPr>
            <w:tcW w:w="100" w:type="dxa"/>
            <w:vAlign w:val="bottom"/>
          </w:tcPr>
          <w:p>
            <w:pPr>
              <w:spacing w:after="0"/>
              <w:rPr>
                <w:sz w:val="15"/>
                <w:szCs w:val="15"/>
                <w:color w:val="auto"/>
              </w:rPr>
            </w:pPr>
          </w:p>
        </w:tc>
        <w:tc>
          <w:tcPr>
            <w:tcW w:w="840" w:type="dxa"/>
            <w:vAlign w:val="bottom"/>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(59,853)</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cash used in operating activities: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3,796</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Change in fair value of redeemable convertible preferred stock warrants and derivative liability</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Non-cash lease adjustment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Inventory write-down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loan extinguishment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receivable, net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(10,809)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w:t>
            </w:r>
          </w:p>
        </w:tc>
        <w:tc>
          <w:tcPr>
            <w:tcW w:w="0" w:type="dxa"/>
            <w:vAlign w:val="bottom"/>
          </w:tcPr>
          <w:p>
            <w:pPr>
              <w:spacing w:after="0"/>
              <w:rPr>
                <w:sz w:val="1"/>
                <w:szCs w:val="1"/>
                <w:color w:val="auto"/>
              </w:rPr>
            </w:pPr>
          </w:p>
        </w:tc>
      </w:tr>
      <w:tr>
        <w:trPr>
          <w:trHeight w:val="184"/>
        </w:trPr>
        <w:tc>
          <w:tcPr>
            <w:tcW w:w="8420" w:type="dxa"/>
            <w:vAlign w:val="bottom"/>
          </w:tcPr>
          <w:p>
            <w:pPr>
              <w:ind w:left="440"/>
              <w:spacing w:after="0"/>
              <w:rPr>
                <w:sz w:val="20"/>
                <w:szCs w:val="20"/>
                <w:color w:val="auto"/>
              </w:rPr>
            </w:pPr>
            <w:r>
              <w:rPr>
                <w:rFonts w:ascii="Arial" w:cs="Arial" w:eastAsia="Arial" w:hAnsi="Arial"/>
                <w:sz w:val="14"/>
                <w:szCs w:val="14"/>
                <w:color w:val="auto"/>
              </w:rPr>
              <w:t>Inventory</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(15,251)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(6,124)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Prepaid expenses and other current assets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(2,631)</w:t>
            </w:r>
          </w:p>
        </w:tc>
        <w:tc>
          <w:tcPr>
            <w:tcW w:w="0" w:type="dxa"/>
            <w:vAlign w:val="bottom"/>
          </w:tcPr>
          <w:p>
            <w:pPr>
              <w:spacing w:after="0"/>
              <w:rPr>
                <w:sz w:val="1"/>
                <w:szCs w:val="1"/>
                <w:color w:val="auto"/>
              </w:rPr>
            </w:pPr>
          </w:p>
        </w:tc>
      </w:tr>
      <w:tr>
        <w:trPr>
          <w:trHeight w:val="184"/>
        </w:trPr>
        <w:tc>
          <w:tcPr>
            <w:tcW w:w="842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184"/>
        </w:trPr>
        <w:tc>
          <w:tcPr>
            <w:tcW w:w="8420" w:type="dxa"/>
            <w:vAlign w:val="bottom"/>
          </w:tcPr>
          <w:p>
            <w:pPr>
              <w:ind w:left="440"/>
              <w:spacing w:after="0"/>
              <w:rPr>
                <w:sz w:val="20"/>
                <w:szCs w:val="20"/>
                <w:color w:val="auto"/>
              </w:rPr>
            </w:pPr>
            <w:r>
              <w:rPr>
                <w:rFonts w:ascii="Arial" w:cs="Arial" w:eastAsia="Arial" w:hAnsi="Arial"/>
                <w:sz w:val="14"/>
                <w:szCs w:val="14"/>
                <w:color w:val="auto"/>
              </w:rPr>
              <w:t>Accrued compensation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6,972</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Accrued interest expense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0" w:type="dxa"/>
            <w:vAlign w:val="bottom"/>
          </w:tcPr>
          <w:p>
            <w:pPr>
              <w:spacing w:after="0"/>
              <w:rPr>
                <w:sz w:val="1"/>
                <w:szCs w:val="1"/>
                <w:color w:val="auto"/>
              </w:rPr>
            </w:pPr>
          </w:p>
        </w:tc>
      </w:tr>
      <w:tr>
        <w:trPr>
          <w:trHeight w:val="184"/>
        </w:trPr>
        <w:tc>
          <w:tcPr>
            <w:tcW w:w="8420" w:type="dxa"/>
            <w:vAlign w:val="bottom"/>
          </w:tcPr>
          <w:p>
            <w:pPr>
              <w:ind w:left="440"/>
              <w:spacing w:after="0"/>
              <w:rPr>
                <w:sz w:val="20"/>
                <w:szCs w:val="20"/>
                <w:color w:val="auto"/>
              </w:rPr>
            </w:pPr>
            <w:r>
              <w:rPr>
                <w:rFonts w:ascii="Arial" w:cs="Arial" w:eastAsia="Arial" w:hAnsi="Arial"/>
                <w:sz w:val="14"/>
                <w:szCs w:val="14"/>
                <w:color w:val="auto"/>
              </w:rPr>
              <w:t>Deferred revenue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792</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Operating lease liabilities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liabilities</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2,659</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9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 cash used in operating activities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(80,382)</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(57,334)</w:t>
            </w:r>
          </w:p>
        </w:tc>
        <w:tc>
          <w:tcPr>
            <w:tcW w:w="0" w:type="dxa"/>
            <w:vAlign w:val="bottom"/>
          </w:tcPr>
          <w:p>
            <w:pPr>
              <w:spacing w:after="0"/>
              <w:rPr>
                <w:sz w:val="1"/>
                <w:szCs w:val="1"/>
                <w:color w:val="auto"/>
              </w:rPr>
            </w:pPr>
          </w:p>
        </w:tc>
      </w:tr>
      <w:tr>
        <w:trPr>
          <w:trHeight w:val="164"/>
        </w:trPr>
        <w:tc>
          <w:tcPr>
            <w:tcW w:w="842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Purchases of property and equipment</w:t>
            </w: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79"/>
        </w:trPr>
        <w:tc>
          <w:tcPr>
            <w:tcW w:w="8420" w:type="dxa"/>
            <w:vAlign w:val="bottom"/>
            <w:tcBorders>
              <w:bottom w:val="single" w:sz="8" w:color="CCEEFF"/>
            </w:tcBorders>
          </w:tcPr>
          <w:p>
            <w:pPr>
              <w:ind w:left="560"/>
              <w:spacing w:after="0"/>
              <w:rPr>
                <w:sz w:val="20"/>
                <w:szCs w:val="20"/>
                <w:color w:val="auto"/>
              </w:rPr>
            </w:pPr>
            <w:r>
              <w:rPr>
                <w:rFonts w:ascii="Arial" w:cs="Arial" w:eastAsia="Arial" w:hAnsi="Arial"/>
                <w:sz w:val="14"/>
                <w:szCs w:val="14"/>
                <w:color w:val="auto"/>
              </w:rPr>
              <w:t>Net cash used in investing activities</w:t>
            </w: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80"/>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from the exercise of stock options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4,008</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4,184</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w w:val="95"/>
              </w:rPr>
              <w:t>Proceeds from issuance of common stock from the initial public offering, net of underwriting discounts, commissions and offering expenses</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172,364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long-term debt, net of issuance costs</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51,195</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Proceeds from the exercise of redeemable convertible preferred stock warrants</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Series G redeemable convertible preferred stock, net of issuance costs</w:t>
            </w:r>
          </w:p>
        </w:tc>
        <w:tc>
          <w:tcPr>
            <w:tcW w:w="8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84,710</w:t>
            </w:r>
          </w:p>
        </w:tc>
        <w:tc>
          <w:tcPr>
            <w:tcW w:w="0" w:type="dxa"/>
            <w:vAlign w:val="bottom"/>
          </w:tcPr>
          <w:p>
            <w:pPr>
              <w:spacing w:after="0"/>
              <w:rPr>
                <w:sz w:val="1"/>
                <w:szCs w:val="1"/>
                <w:color w:val="auto"/>
              </w:rPr>
            </w:pPr>
          </w:p>
        </w:tc>
      </w:tr>
      <w:tr>
        <w:trPr>
          <w:trHeight w:val="184"/>
        </w:trPr>
        <w:tc>
          <w:tcPr>
            <w:tcW w:w="8420" w:type="dxa"/>
            <w:vAlign w:val="bottom"/>
          </w:tcPr>
          <w:p>
            <w:pPr>
              <w:ind w:left="220"/>
              <w:spacing w:after="0"/>
              <w:rPr>
                <w:sz w:val="20"/>
                <w:szCs w:val="20"/>
                <w:color w:val="auto"/>
              </w:rPr>
            </w:pPr>
            <w:r>
              <w:rPr>
                <w:rFonts w:ascii="Arial" w:cs="Arial" w:eastAsia="Arial" w:hAnsi="Arial"/>
                <w:sz w:val="14"/>
                <w:szCs w:val="14"/>
                <w:color w:val="auto"/>
              </w:rPr>
              <w:t>Payment of principal on long-term debt</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(50,000)</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final payment fee</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(3,000)</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Payment of prepayment fee</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842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Net cash provided by financing activities</w:t>
            </w: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262,116</w:t>
            </w:r>
          </w:p>
        </w:tc>
        <w:tc>
          <w:tcPr>
            <w:tcW w:w="0" w:type="dxa"/>
            <w:vAlign w:val="bottom"/>
          </w:tcPr>
          <w:p>
            <w:pPr>
              <w:spacing w:after="0"/>
              <w:rPr>
                <w:sz w:val="1"/>
                <w:szCs w:val="1"/>
                <w:color w:val="auto"/>
              </w:rPr>
            </w:pPr>
          </w:p>
        </w:tc>
      </w:tr>
      <w:tr>
        <w:trPr>
          <w:trHeight w:val="177"/>
        </w:trPr>
        <w:tc>
          <w:tcPr>
            <w:tcW w:w="8420" w:type="dxa"/>
            <w:vAlign w:val="bottom"/>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1"/>
              </w:rPr>
              <w:t>(79,423)</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204,190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w:t>
            </w: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Beginning of the period</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305,097</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6"/>
              </w:rPr>
              <w:t>100,907</w:t>
            </w:r>
          </w:p>
        </w:tc>
        <w:tc>
          <w:tcPr>
            <w:tcW w:w="0" w:type="dxa"/>
            <w:vAlign w:val="bottom"/>
          </w:tcPr>
          <w:p>
            <w:pPr>
              <w:spacing w:after="0"/>
              <w:rPr>
                <w:sz w:val="1"/>
                <w:szCs w:val="1"/>
                <w:color w:val="auto"/>
              </w:rPr>
            </w:pPr>
          </w:p>
        </w:tc>
      </w:tr>
      <w:tr>
        <w:trPr>
          <w:trHeight w:val="218"/>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End of the period</w:t>
            </w: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225,674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305,097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Reconciliation of cash, cash equivalents and restricted cash to balance sheets: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8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84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221,859</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6"/>
              </w:rPr>
              <w:t>304,320</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Restricted cash</w:t>
            </w: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3,815</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218"/>
        </w:trPr>
        <w:tc>
          <w:tcPr>
            <w:tcW w:w="84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Cash, cash equivalents and restricted cash in balance sheets</w:t>
            </w: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225,674</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305,097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842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6"/>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Interest paid</w:t>
            </w: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4,291</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4"/>
                <w:szCs w:val="14"/>
                <w:b w:val="1"/>
                <w:bCs w:val="1"/>
                <w:color w:val="auto"/>
              </w:rPr>
              <w:t>Non-cash investing and financing activities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8420" w:type="dxa"/>
            <w:vAlign w:val="bottom"/>
            <w:vMerge w:val="continue"/>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Transfer of evaluation units from inventory to property and equipment, net</w:t>
            </w: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420" w:type="dxa"/>
            <w:vAlign w:val="bottom"/>
          </w:tcPr>
          <w:p>
            <w:pPr>
              <w:ind w:left="220"/>
              <w:spacing w:after="0"/>
              <w:rPr>
                <w:sz w:val="20"/>
                <w:szCs w:val="20"/>
                <w:color w:val="auto"/>
              </w:rPr>
            </w:pPr>
            <w:r>
              <w:rPr>
                <w:rFonts w:ascii="Arial" w:cs="Arial" w:eastAsia="Arial" w:hAnsi="Arial"/>
                <w:sz w:val="14"/>
                <w:szCs w:val="14"/>
                <w:color w:val="auto"/>
              </w:rPr>
              <w:t>Property and equipment included in accounts payable and accrued expenses</w:t>
            </w:r>
          </w:p>
        </w:tc>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8420" w:type="dxa"/>
            <w:vAlign w:val="bottom"/>
            <w:tcBorders>
              <w:bottom w:val="single" w:sz="8" w:color="CCEEFF"/>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r>
      <w:tr>
        <w:trPr>
          <w:trHeight w:val="205"/>
        </w:trPr>
        <w:tc>
          <w:tcPr>
            <w:tcW w:w="84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500" w:type="dxa"/>
            <w:vAlign w:val="bottom"/>
            <w:shd w:val="clear" w:color="auto" w:fill="CCEEFF"/>
          </w:tcPr>
          <w:p>
            <w:pPr>
              <w:jc w:val="right"/>
              <w:ind w:right="351"/>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329,534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65"/>
        </w:trPr>
        <w:tc>
          <w:tcPr>
            <w:tcW w:w="8420" w:type="dxa"/>
            <w:vAlign w:val="bottom"/>
          </w:tcPr>
          <w:p>
            <w:pPr>
              <w:ind w:left="22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5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PROCEPT BioRobotics Corporation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65" w:lineRule="exact"/>
        <w:rPr>
          <w:sz w:val="20"/>
          <w:szCs w:val="20"/>
          <w:color w:val="auto"/>
        </w:rPr>
      </w:pPr>
    </w:p>
    <w:p>
      <w:pPr>
        <w:ind w:right="9520" w:firstLine="3"/>
        <w:spacing w:after="0" w:line="506" w:lineRule="auto"/>
        <w:tabs>
          <w:tab w:leader="none" w:pos="301"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Description of Business</w:t>
      </w:r>
    </w:p>
    <w:p>
      <w:pPr>
        <w:spacing w:after="0" w:line="1" w:lineRule="exact"/>
        <w:rPr>
          <w:sz w:val="20"/>
          <w:szCs w:val="20"/>
          <w:color w:val="auto"/>
        </w:rPr>
      </w:pPr>
    </w:p>
    <w:p>
      <w:pPr>
        <w:ind w:right="60" w:firstLine="309"/>
        <w:spacing w:after="0" w:line="239" w:lineRule="auto"/>
        <w:rPr>
          <w:sz w:val="20"/>
          <w:szCs w:val="20"/>
          <w:color w:val="auto"/>
        </w:rPr>
      </w:pPr>
      <w:r>
        <w:rPr>
          <w:rFonts w:ascii="Arial" w:cs="Arial" w:eastAsia="Arial" w:hAnsi="Arial"/>
          <w:sz w:val="17"/>
          <w:szCs w:val="17"/>
          <w:color w:val="auto"/>
        </w:rPr>
        <w:t>PROCEPT BioRobotics Corporation (the “Company”) was incorporated in the state of California in 2007 and its headquarters are located in Redwood City, California. In April 2021, the Company re-incorporated in the state of Delaware. The Company received U.S. Food and Drug Administration clearance in December 2017 to market its AquaBeam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Robotic System, an automated surgical robot providing tissue removal for the treatment of benign prostatic hyperplasia, a prostate gland enlargement condition.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65" w:lineRule="exact"/>
        <w:rPr>
          <w:sz w:val="20"/>
          <w:szCs w:val="20"/>
          <w:color w:val="auto"/>
        </w:rPr>
      </w:pPr>
    </w:p>
    <w:p>
      <w:pPr>
        <w:ind w:right="60" w:firstLine="309"/>
        <w:spacing w:after="0" w:line="258" w:lineRule="auto"/>
        <w:rPr>
          <w:sz w:val="20"/>
          <w:szCs w:val="20"/>
          <w:color w:val="auto"/>
        </w:rPr>
      </w:pPr>
      <w:r>
        <w:rPr>
          <w:rFonts w:ascii="Arial" w:cs="Arial" w:eastAsia="Arial" w:hAnsi="Arial"/>
          <w:sz w:val="17"/>
          <w:szCs w:val="17"/>
          <w:color w:val="auto"/>
        </w:rPr>
        <w:t>As of December 31, 2022, the Company had cash and cash equivalents of $221.9 million and an accumulated deficit of $348.7 million. In September 2021, the Company completed its initial public offering (“IPO”) for net proceeds of approximately $172.4 million, after deducting underwriting discounts and commissions, and offering expenses. Since its inception, the Company has financed its operations with a combination of debt and equity financing arrangements. The Company expects its cash and cash equivalents, and revenue will be sufficient to fund its operations through at least the next twelve months from the issuance date of these consolidated financial statements. The Company has not achieved positive cash flow from operations to date and expects to continue incurring losses for the foreseeable future as it focuses on growing its business.</w:t>
      </w:r>
    </w:p>
    <w:p>
      <w:pPr>
        <w:spacing w:after="0" w:line="12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5"/>
          <w:szCs w:val="15"/>
          <w:b w:val="1"/>
          <w:bCs w:val="1"/>
          <w:color w:val="auto"/>
        </w:rPr>
        <w:t>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165" w:lineRule="exact"/>
        <w:rPr>
          <w:sz w:val="20"/>
          <w:szCs w:val="20"/>
          <w:color w:val="auto"/>
        </w:rPr>
      </w:pPr>
    </w:p>
    <w:p>
      <w:pPr>
        <w:jc w:val="both"/>
        <w:ind w:right="180" w:firstLine="309"/>
        <w:spacing w:after="0" w:line="290"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(“U.S. GAAP”) and pursuant to the rules and regulations of the United States Securities and Exchange Commission (“SEC”). These consolidated financial statements include the accounts of the Company and its consolidated subsidiaries. All intercompany balances and transactions have been eliminated upon consolidation.</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65" w:lineRule="exact"/>
        <w:rPr>
          <w:sz w:val="20"/>
          <w:szCs w:val="20"/>
          <w:color w:val="auto"/>
        </w:rPr>
      </w:pPr>
    </w:p>
    <w:p>
      <w:pPr>
        <w:ind w:right="140" w:firstLine="309"/>
        <w:spacing w:after="0" w:line="277"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amounts and disclosures reported in the consolidated financial statements. Management uses significant judgment when making estimates related to its common stock valuation in periods before the Company’s IPO and related stock-based compensation expense, right-of-use lease asset, lease liability, the valuations of the redeemable convertible preferred stock warrant liability and loan facility derivative liability, as well as certain accrued liabilities. Management bases its estimates on historical experience and on various other assumptions that are believed to be reasonable under the circumstances, the results of which form the basis for making judgments about the carrying values of assets and liabilities. Actual results could differ from those estimates.</w:t>
      </w:r>
    </w:p>
    <w:p>
      <w:pPr>
        <w:spacing w:after="0" w:line="118" w:lineRule="exact"/>
        <w:rPr>
          <w:sz w:val="20"/>
          <w:szCs w:val="20"/>
          <w:color w:val="auto"/>
        </w:rPr>
      </w:pPr>
    </w:p>
    <w:p>
      <w:pPr>
        <w:jc w:val="both"/>
        <w:ind w:right="180" w:firstLine="309"/>
        <w:spacing w:after="0" w:line="266" w:lineRule="auto"/>
        <w:rPr>
          <w:sz w:val="20"/>
          <w:szCs w:val="20"/>
          <w:color w:val="auto"/>
        </w:rPr>
      </w:pPr>
      <w:r>
        <w:rPr>
          <w:rFonts w:ascii="Arial" w:cs="Arial" w:eastAsia="Arial" w:hAnsi="Arial"/>
          <w:sz w:val="17"/>
          <w:szCs w:val="17"/>
          <w:color w:val="auto"/>
        </w:rPr>
        <w:t>While many restrictions associated with COVID-19 have more recently been relaxed, the longevity and extent of the various COVID-19 pandemic remains uncertain, including due to the emergence and impact of the COVID-19 variants and continued economic disruptions. Due to significant uncertainty surrounding the pandemic, management's judgments could change.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165" w:lineRule="exact"/>
        <w:rPr>
          <w:sz w:val="20"/>
          <w:szCs w:val="20"/>
          <w:color w:val="auto"/>
        </w:rPr>
      </w:pPr>
    </w:p>
    <w:p>
      <w:pPr>
        <w:jc w:val="both"/>
        <w:ind w:firstLine="309"/>
        <w:spacing w:after="0" w:line="259" w:lineRule="auto"/>
        <w:rPr>
          <w:sz w:val="20"/>
          <w:szCs w:val="20"/>
          <w:color w:val="auto"/>
        </w:rPr>
      </w:pPr>
      <w:r>
        <w:rPr>
          <w:rFonts w:ascii="Arial" w:cs="Arial" w:eastAsia="Arial" w:hAnsi="Arial"/>
          <w:sz w:val="17"/>
          <w:szCs w:val="17"/>
          <w:color w:val="auto"/>
        </w:rPr>
        <w:t>In September 2021, the Board of Directors and stockholders approved, and the Company filed, an amended and restated certificate of incorporation effecting a 1-for-4.75 reverse stock split of common stock and all redeemable convertible preferred stock. The par value of the common and redeemable convertible preferred stock was not adjusted as a result of the reverse stock split. All authorized, issued and outstanding common stock, redeemable convertible preferred stock, warrants for preferred stock, stock options and per share amounts contained in the financial statements have been retroactively adjusted to reflect this reverse stock split for all periods presented.</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165"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In September 2021, the Company completed its IPO by issuing 6,556,000 shares of common stock, and the exercise of the underwriters option for 983,400 shares, at an offering price of $25.00 per share, for total net proceeds of approximately $172.4 million, after deducting underwriting discounts and commissions of $13.2 million and offering expenses of $2.9 million. Offering costs are capitalized, and consist of fees and expenses incurred in connection with the sale of common stock in its IPO, including legal, accounting, printing and other IPO-related costs. Upon completion of its IPO, these deferred offering costs were reclassified to stockholders’ equity and recorded against the proceeds from the offering. In addition, all 29,912,264 shares of its then-outstanding redeemable convertible preferred stock automatically converted into 29,912,264 shares of common stock and it reclassified $329.5 million of redeemable convertible preferred stock to additional paid-in capital on its consolidated balance sheet.</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Par Value and Shares Authorized Change</w:t>
      </w:r>
    </w:p>
    <w:p>
      <w:pPr>
        <w:spacing w:after="0" w:line="165" w:lineRule="exact"/>
        <w:rPr>
          <w:sz w:val="20"/>
          <w:szCs w:val="20"/>
          <w:color w:val="auto"/>
        </w:rPr>
      </w:pPr>
    </w:p>
    <w:p>
      <w:pPr>
        <w:ind w:firstLine="309"/>
        <w:spacing w:after="0" w:line="262" w:lineRule="auto"/>
        <w:rPr>
          <w:sz w:val="20"/>
          <w:szCs w:val="20"/>
          <w:color w:val="auto"/>
        </w:rPr>
      </w:pPr>
      <w:r>
        <w:rPr>
          <w:rFonts w:ascii="Arial" w:cs="Arial" w:eastAsia="Arial" w:hAnsi="Arial"/>
          <w:sz w:val="17"/>
          <w:szCs w:val="17"/>
          <w:color w:val="auto"/>
        </w:rPr>
        <w:t>In June 2021, the Board of Directors and stockholders approved, and the Company filed, an amended and restated certificate of incorporation effecting a change in par value from $0.001 to $0.00001 per share of common stock and all redeemable convertible preferred stock. All issued and outstanding common stock and redeemable convertible preferred stock contained in the financial statements have been retroactively corrected to reflect this immaterial change in par value for all periods presented.</w:t>
      </w:r>
    </w:p>
    <w:p>
      <w:pPr>
        <w:spacing w:after="0" w:line="126"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color w:val="auto"/>
        </w:rPr>
        <w:t>In September 2021, 10.0 million shares of preferred stock were authorized and the number of authorized shares of common stock was increased to 300.0 million shares, both having a par value of $0.00001 per share.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65" w:lineRule="exact"/>
        <w:rPr>
          <w:sz w:val="20"/>
          <w:szCs w:val="20"/>
          <w:color w:val="auto"/>
        </w:rPr>
      </w:pPr>
    </w:p>
    <w:p>
      <w:pPr>
        <w:ind w:right="400" w:firstLine="309"/>
        <w:spacing w:after="0" w:line="279" w:lineRule="auto"/>
        <w:rPr>
          <w:sz w:val="20"/>
          <w:szCs w:val="20"/>
          <w:color w:val="auto"/>
        </w:rPr>
      </w:pPr>
      <w:r>
        <w:rPr>
          <w:rFonts w:ascii="Arial" w:cs="Arial" w:eastAsia="Arial" w:hAnsi="Arial"/>
          <w:sz w:val="17"/>
          <w:szCs w:val="17"/>
          <w:color w:val="auto"/>
        </w:rPr>
        <w:t>Cash and cash equivalents consist of cash in banks highly liquid securities determined to be cash equivalents, which are readily convertible into cash and mature within 90 days or less from the original date of purchase. Cash and cash equivalents include money market funds.</w:t>
      </w:r>
    </w:p>
    <w:p>
      <w:pPr>
        <w:spacing w:after="0" w:line="113" w:lineRule="exact"/>
        <w:rPr>
          <w:sz w:val="20"/>
          <w:szCs w:val="20"/>
          <w:color w:val="auto"/>
        </w:rPr>
      </w:pPr>
    </w:p>
    <w:p>
      <w:pPr>
        <w:ind w:right="200" w:firstLine="309"/>
        <w:spacing w:after="0" w:line="279" w:lineRule="auto"/>
        <w:rPr>
          <w:sz w:val="20"/>
          <w:szCs w:val="20"/>
          <w:color w:val="auto"/>
        </w:rPr>
      </w:pPr>
      <w:r>
        <w:rPr>
          <w:rFonts w:ascii="Arial" w:cs="Arial" w:eastAsia="Arial" w:hAnsi="Arial"/>
          <w:sz w:val="17"/>
          <w:szCs w:val="17"/>
          <w:color w:val="auto"/>
        </w:rPr>
        <w:t>Cash equivalents are considered available-for-sale marketable securities and are recorded at fair value, based on quoted market prices. Unrealized gains and losses are recorded in other comprehensive loss and included as a separate component of stockholders’ equity (deficit).</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Restricted cash is related to the Company’s letters of credit for the leases of its Redwood City and San Jose, CA locations.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65" w:lineRule="exact"/>
        <w:rPr>
          <w:sz w:val="20"/>
          <w:szCs w:val="20"/>
          <w:color w:val="auto"/>
        </w:rPr>
      </w:pPr>
    </w:p>
    <w:p>
      <w:pPr>
        <w:ind w:right="40" w:firstLine="309"/>
        <w:spacing w:after="0" w:line="258" w:lineRule="auto"/>
        <w:rPr>
          <w:sz w:val="20"/>
          <w:szCs w:val="20"/>
          <w:color w:val="auto"/>
        </w:rPr>
      </w:pPr>
      <w:r>
        <w:rPr>
          <w:rFonts w:ascii="Arial" w:cs="Arial" w:eastAsia="Arial" w:hAnsi="Arial"/>
          <w:sz w:val="17"/>
          <w:szCs w:val="17"/>
          <w:color w:val="auto"/>
        </w:rPr>
        <w:t>The Company measures certain financial assets and liabilities at fair value on a recurring basis, including cash and cash equivalents, and accounts receivable, accounts payable and accrued liabilities, which approximate fair value due to their relatively short maturities as well as the loan facility derivative liability.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32" w:lineRule="exact"/>
        <w:rPr>
          <w:sz w:val="20"/>
          <w:szCs w:val="20"/>
          <w:color w:val="auto"/>
        </w:rPr>
      </w:pPr>
    </w:p>
    <w:p>
      <w:pPr>
        <w:ind w:left="320"/>
        <w:spacing w:after="0"/>
        <w:tabs>
          <w:tab w:leader="none" w:pos="122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Observable inputs such as quoted prices (unadjusted) for identical assets or liabilities in active markets.</w:t>
      </w:r>
    </w:p>
    <w:p>
      <w:pPr>
        <w:spacing w:after="0" w:line="165" w:lineRule="exact"/>
        <w:rPr>
          <w:sz w:val="20"/>
          <w:szCs w:val="20"/>
          <w:color w:val="auto"/>
        </w:rPr>
      </w:pPr>
    </w:p>
    <w:p>
      <w:pPr>
        <w:ind w:left="1240" w:right="120" w:hanging="927"/>
        <w:spacing w:after="0" w:line="266" w:lineRule="auto"/>
        <w:tabs>
          <w:tab w:leader="none" w:pos="12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7"/>
          <w:szCs w:val="17"/>
          <w:color w:val="auto"/>
        </w:rPr>
        <w:t>Other inputs that are based upon quoted prices for similar instruments in active markets, quoted prices for identical or similar instruments in markets that are not active and model-based valuation techniques for which all significant inputs are observable in the market or can be derived from observable market data.</w:t>
      </w:r>
    </w:p>
    <w:p>
      <w:pPr>
        <w:spacing w:after="0" w:line="124" w:lineRule="exact"/>
        <w:rPr>
          <w:sz w:val="20"/>
          <w:szCs w:val="20"/>
          <w:color w:val="auto"/>
        </w:rPr>
      </w:pPr>
    </w:p>
    <w:p>
      <w:pPr>
        <w:ind w:left="320"/>
        <w:spacing w:after="0"/>
        <w:tabs>
          <w:tab w:leader="none" w:pos="122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that are supported by little or no market activities, which would require the Company to develop its own assumptions.</w:t>
      </w:r>
    </w:p>
    <w:p>
      <w:pPr>
        <w:spacing w:after="0" w:line="165" w:lineRule="exact"/>
        <w:rPr>
          <w:sz w:val="20"/>
          <w:szCs w:val="20"/>
          <w:color w:val="auto"/>
        </w:rPr>
      </w:pPr>
    </w:p>
    <w:p>
      <w:pPr>
        <w:ind w:right="260" w:firstLine="309"/>
        <w:spacing w:after="0" w:line="279" w:lineRule="auto"/>
        <w:rPr>
          <w:sz w:val="20"/>
          <w:szCs w:val="20"/>
          <w:color w:val="auto"/>
        </w:rPr>
      </w:pPr>
      <w:r>
        <w:rPr>
          <w:rFonts w:ascii="Arial" w:cs="Arial" w:eastAsia="Arial" w:hAnsi="Arial"/>
          <w:sz w:val="17"/>
          <w:szCs w:val="17"/>
          <w:color w:val="auto"/>
        </w:rPr>
        <w:t>The fair value hierarchy also requires an entity to maximize the use of observable inputs and minimize the use of unobservable inputs when measuring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65" w:lineRule="exact"/>
        <w:rPr>
          <w:sz w:val="20"/>
          <w:szCs w:val="20"/>
          <w:color w:val="auto"/>
        </w:rPr>
      </w:pPr>
    </w:p>
    <w:p>
      <w:pPr>
        <w:ind w:right="80" w:firstLine="309"/>
        <w:spacing w:after="0" w:line="27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principally of cash and cash equivalents and, to a lesser extent, accounts receivable. The Company believes that credit risk in its accounts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receivable is mitigated by its credit evaluation process, relatively short collection terms and diversity of its customer base. The Company generally does not require collateral and losses on accounts receivable have historically been within management’s expectations.</w:t>
      </w:r>
    </w:p>
    <w:p>
      <w:pPr>
        <w:spacing w:after="0" w:line="113" w:lineRule="exact"/>
        <w:rPr>
          <w:sz w:val="20"/>
          <w:szCs w:val="20"/>
          <w:color w:val="auto"/>
        </w:rPr>
      </w:pPr>
    </w:p>
    <w:p>
      <w:pPr>
        <w:ind w:right="220" w:firstLine="309"/>
        <w:spacing w:after="0" w:line="279" w:lineRule="auto"/>
        <w:rPr>
          <w:sz w:val="20"/>
          <w:szCs w:val="20"/>
          <w:color w:val="auto"/>
        </w:rPr>
      </w:pPr>
      <w:r>
        <w:rPr>
          <w:rFonts w:ascii="Arial" w:cs="Arial" w:eastAsia="Arial" w:hAnsi="Arial"/>
          <w:sz w:val="17"/>
          <w:szCs w:val="17"/>
          <w:color w:val="auto"/>
        </w:rPr>
        <w:t>No customers accounted for more than 10% of revenue during the year ended December 31, 2022 and 2021. No customers accounted for more than 10% of accounts receivable at December 31, 2022. One customer accounted for 11% of accounts receivable at December 31, 2021.</w:t>
      </w:r>
    </w:p>
    <w:p>
      <w:pPr>
        <w:spacing w:after="0" w:line="113" w:lineRule="exact"/>
        <w:rPr>
          <w:sz w:val="20"/>
          <w:szCs w:val="20"/>
          <w:color w:val="auto"/>
        </w:rPr>
      </w:pPr>
    </w:p>
    <w:p>
      <w:pPr>
        <w:ind w:right="80" w:firstLine="309"/>
        <w:spacing w:after="0" w:line="279" w:lineRule="auto"/>
        <w:rPr>
          <w:sz w:val="20"/>
          <w:szCs w:val="20"/>
          <w:color w:val="auto"/>
        </w:rPr>
      </w:pPr>
      <w:r>
        <w:rPr>
          <w:rFonts w:ascii="Arial" w:cs="Arial" w:eastAsia="Arial" w:hAnsi="Arial"/>
          <w:sz w:val="16"/>
          <w:szCs w:val="16"/>
          <w:color w:val="auto"/>
        </w:rPr>
        <w:t>The Company’s investment policy limits investments to certain types of debt securities issued by the U.S. government, its agencies, and institutions with investment-grade credit ratings, as well as corporate debt or commercial paper issued by the highest quality financial and non-financial companies, and places restrictions on maturities and concentration by type and issuer. The Company is exposed to credit risk in the event of a default by the financial institutions holding its cash and cash equivalents and issuers of investments to the extent recorded on the balance sheets. The Company has limited its credit risk associated with cash and cash equivalents by placing its investments with banks it believes are highly creditworthy and with highly rated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 for Doubtful Accounts</w:t>
      </w:r>
    </w:p>
    <w:p>
      <w:pPr>
        <w:spacing w:after="0" w:line="165" w:lineRule="exact"/>
        <w:rPr>
          <w:sz w:val="20"/>
          <w:szCs w:val="20"/>
          <w:color w:val="auto"/>
        </w:rPr>
      </w:pPr>
    </w:p>
    <w:p>
      <w:pPr>
        <w:ind w:right="160" w:firstLine="309"/>
        <w:spacing w:after="0" w:line="283" w:lineRule="auto"/>
        <w:rPr>
          <w:sz w:val="20"/>
          <w:szCs w:val="20"/>
          <w:color w:val="auto"/>
        </w:rPr>
      </w:pPr>
      <w:r>
        <w:rPr>
          <w:rFonts w:ascii="Arial" w:cs="Arial" w:eastAsia="Arial" w:hAnsi="Arial"/>
          <w:sz w:val="16"/>
          <w:szCs w:val="16"/>
          <w:color w:val="auto"/>
        </w:rPr>
        <w:t>The Company’s expected loss allowance methodology is developed using its historical collection experience, current and future economic market conditions and a review of the current aging status and financial condition of its customers. Specific allowance amounts are established to record the appropriate allowance for customers that have a known risk of default. Balances are written off when they are ultimately determined to be uncollectible. The Company has not experienced any significant collection issues and the allowance for doubtful accounts has not been material.</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65" w:lineRule="exact"/>
        <w:rPr>
          <w:sz w:val="20"/>
          <w:szCs w:val="20"/>
          <w:color w:val="auto"/>
        </w:rPr>
      </w:pPr>
    </w:p>
    <w:p>
      <w:pPr>
        <w:ind w:right="200" w:firstLine="309"/>
        <w:spacing w:after="0" w:line="262" w:lineRule="auto"/>
        <w:rPr>
          <w:sz w:val="20"/>
          <w:szCs w:val="20"/>
          <w:color w:val="auto"/>
        </w:rPr>
      </w:pPr>
      <w:r>
        <w:rPr>
          <w:rFonts w:ascii="Arial" w:cs="Arial" w:eastAsia="Arial" w:hAnsi="Arial"/>
          <w:sz w:val="17"/>
          <w:szCs w:val="17"/>
          <w:color w:val="auto"/>
        </w:rPr>
        <w:t>Inventories are valued at the lower of cost, computed on a first-in, first-out basis, or net realizable value. The allocation of production overhead to inventory costs is based on normal production capacity. Abnormal amounts of idle facility expense, freight, handling costs, and consumption are expensed as incurred, and not included in overhead. The Company maintains provisions for excess and obsolete inventory based on management’s estimates of forecasted demand and, where applicable, product expiration.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and Intangible Assets</w:t>
      </w:r>
    </w:p>
    <w:p>
      <w:pPr>
        <w:spacing w:after="0" w:line="165" w:lineRule="exact"/>
        <w:rPr>
          <w:sz w:val="20"/>
          <w:szCs w:val="20"/>
          <w:color w:val="auto"/>
        </w:rPr>
      </w:pPr>
    </w:p>
    <w:p>
      <w:pPr>
        <w:ind w:firstLine="309"/>
        <w:spacing w:after="0" w:line="258" w:lineRule="auto"/>
        <w:rPr>
          <w:sz w:val="20"/>
          <w:szCs w:val="20"/>
          <w:color w:val="auto"/>
        </w:rPr>
      </w:pPr>
      <w:r>
        <w:rPr>
          <w:rFonts w:ascii="Arial" w:cs="Arial" w:eastAsia="Arial" w:hAnsi="Arial"/>
          <w:sz w:val="17"/>
          <w:szCs w:val="17"/>
          <w:color w:val="auto"/>
        </w:rPr>
        <w:t>Property and equipment and intangible assets are stated at cost, less accumulated depreciation and amortization. Depreciation and amortization for property and equipment are determined using the straight-line method over the estimated useful lives of the respective assets, generally three to five years. The Company reclassifies inventory used at customer sites for evaluation purposes to property and equipment due to a limited history of sales of evaluation units. Amortization of intangible assets are determined using the straight-line method over the estimated useful lives, generally through the patent expiration date. Leasehold improvements are amortized on a straight-line basis over the shorter of their estimated useful lives or the term of the lease. Maintenance and repairs are charged to operating expenses as incurred.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65" w:lineRule="exact"/>
        <w:rPr>
          <w:sz w:val="20"/>
          <w:szCs w:val="20"/>
          <w:color w:val="auto"/>
        </w:rPr>
      </w:pPr>
    </w:p>
    <w:p>
      <w:pPr>
        <w:ind w:right="20" w:firstLine="309"/>
        <w:spacing w:after="0" w:line="276" w:lineRule="auto"/>
        <w:rPr>
          <w:sz w:val="20"/>
          <w:szCs w:val="20"/>
          <w:color w:val="auto"/>
        </w:rPr>
      </w:pPr>
      <w:r>
        <w:rPr>
          <w:rFonts w:ascii="Arial" w:cs="Arial" w:eastAsia="Arial" w:hAnsi="Arial"/>
          <w:sz w:val="16"/>
          <w:szCs w:val="16"/>
          <w:color w:val="auto"/>
        </w:rPr>
        <w:t>Long-lived assets consist primarily of property and equipment and intangible assets,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The Company determines fair value using the income approach based on the present value of expected future cash flows or other appropriate measures of estimated fair value. The Company’s cash flow assumptions consider historical and forecasted revenue and operating costs and other relevant factors. During the years ended December 31, 2022 and 2021, the Company has not recorded impairment charges on its long-lived assets.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65" w:lineRule="exact"/>
        <w:rPr>
          <w:sz w:val="20"/>
          <w:szCs w:val="20"/>
          <w:color w:val="auto"/>
        </w:rPr>
      </w:pPr>
    </w:p>
    <w:p>
      <w:pPr>
        <w:ind w:right="20" w:firstLine="309"/>
        <w:spacing w:after="0" w:line="266"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records deferred revenue when revenue will be recognized subsequent to invoicing. Service agreements are generally invoiced annually at the beginning of each coverage period and recorded as deferred revenue and recognized as revenue ratably over</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coverage period. Deferred revenue that will be recognized during the 12 months following the balance sheet date is recorded as the current portion of deferred revenue, and the remaining portion, if any, would be recorded as non-current.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Loan Facility Derivative Liability</w:t>
      </w:r>
    </w:p>
    <w:p>
      <w:pPr>
        <w:spacing w:after="0" w:line="165" w:lineRule="exact"/>
        <w:rPr>
          <w:sz w:val="20"/>
          <w:szCs w:val="20"/>
          <w:color w:val="auto"/>
        </w:rPr>
      </w:pPr>
    </w:p>
    <w:p>
      <w:pPr>
        <w:ind w:firstLine="309"/>
        <w:spacing w:after="0" w:line="275" w:lineRule="auto"/>
        <w:rPr>
          <w:sz w:val="20"/>
          <w:szCs w:val="20"/>
          <w:color w:val="auto"/>
        </w:rPr>
      </w:pPr>
      <w:r>
        <w:rPr>
          <w:rFonts w:ascii="Arial" w:cs="Arial" w:eastAsia="Arial" w:hAnsi="Arial"/>
          <w:sz w:val="16"/>
          <w:szCs w:val="16"/>
          <w:color w:val="auto"/>
        </w:rPr>
        <w:t>In connection with the Company’s previous loan facility (Note 6), the Company is obligated to pay a fee upon the earlier occurrence of a defined liquidity event, including but not limited to, a merger or sale of our assets or voting stock, or achieving a $200.0 million trailing 12 months revenue target, in each case, by September 2029. The fee is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liquidity event. At the time of extinguishment, the Company has drawn on the first two installments. The Company has determined this fee is a freestanding derivative instrument. The $1.4 million fair value of this loan facility derivative was initially recorded as a debt discount and a non-current liability on the date of issuance in connection with obtaining additional financing as applicable and will be revalued every reporting period until the earlier occurrence of a defined liquidity event or achieving a revenue target by September 2029 or termination of such fee arrangement.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66" w:lineRule="exact"/>
        <w:rPr>
          <w:sz w:val="20"/>
          <w:szCs w:val="20"/>
          <w:color w:val="auto"/>
        </w:rPr>
      </w:pPr>
    </w:p>
    <w:p>
      <w:pPr>
        <w:ind w:right="80" w:firstLine="309"/>
        <w:spacing w:after="0" w:line="276" w:lineRule="auto"/>
        <w:rPr>
          <w:sz w:val="20"/>
          <w:szCs w:val="20"/>
          <w:color w:val="auto"/>
        </w:rPr>
      </w:pPr>
      <w:r>
        <w:rPr>
          <w:rFonts w:ascii="Arial" w:cs="Arial" w:eastAsia="Arial" w:hAnsi="Arial"/>
          <w:sz w:val="16"/>
          <w:szCs w:val="16"/>
          <w:color w:val="auto"/>
        </w:rPr>
        <w:t>For agreements with a term of more than 12 months, the Company determines if the agreement contains a lease at inception. Operating lease liabilities represent an obligation to make lease payments arising from the lease agreement. Operating lease liabilities are recognized at the lease commencement date based on the present value of lease payments over the remaining lease term. In determining the present value of lease payments, the Company estimates its incremental borrowing rate as the rate of interest that the Company would have to pay to borrow on a collateralized basis over a similar term, of an amount equal to the lease payments in a similar economic environment. Operating lease liabilities are included in the Company’s consolidated balance sheet. Right-of-use assets represent our right to use an underlying asset for the lease term and are classified as non-current assets. Lease expense is recognized on a straight-line basis over the expected lease term in the Company’s consolidated statements of operations and comprehensive loss.</w:t>
      </w:r>
    </w:p>
    <w:p>
      <w:pPr>
        <w:spacing w:after="0" w:line="118" w:lineRule="exact"/>
        <w:rPr>
          <w:sz w:val="20"/>
          <w:szCs w:val="20"/>
          <w:color w:val="auto"/>
        </w:rPr>
      </w:pPr>
    </w:p>
    <w:p>
      <w:pPr>
        <w:ind w:right="20" w:firstLine="309"/>
        <w:spacing w:after="0" w:line="283" w:lineRule="auto"/>
        <w:rPr>
          <w:sz w:val="20"/>
          <w:szCs w:val="20"/>
          <w:color w:val="auto"/>
        </w:rPr>
      </w:pPr>
      <w:r>
        <w:rPr>
          <w:rFonts w:ascii="Arial" w:cs="Arial" w:eastAsia="Arial" w:hAnsi="Arial"/>
          <w:sz w:val="16"/>
          <w:szCs w:val="16"/>
          <w:color w:val="auto"/>
        </w:rPr>
        <w:t>The Company has not elected to separate lease and non-lease components for any leases within its existing classes of assets and, as a result, records a right-of-use asset and lease liability based on the present value of the future minimum lease payments over the term at commencement date. Variable lease payments are expensed as incurred.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12" w:lineRule="exact"/>
        <w:rPr>
          <w:sz w:val="20"/>
          <w:szCs w:val="20"/>
          <w:color w:val="auto"/>
        </w:rPr>
      </w:pPr>
    </w:p>
    <w:p>
      <w:pPr>
        <w:ind w:right="100" w:firstLine="309"/>
        <w:spacing w:after="0" w:line="349" w:lineRule="auto"/>
        <w:rPr>
          <w:sz w:val="20"/>
          <w:szCs w:val="20"/>
          <w:color w:val="auto"/>
        </w:rPr>
      </w:pPr>
      <w:r>
        <w:rPr>
          <w:rFonts w:ascii="Arial" w:cs="Arial" w:eastAsia="Arial" w:hAnsi="Arial"/>
          <w:sz w:val="15"/>
          <w:szCs w:val="15"/>
          <w:color w:val="auto"/>
        </w:rPr>
        <w:t>The Company has lessor arrangements with customers for a fixed monthly fee with no non-lease components, typically for 3-12 months. These arrangements are accounted for as an operating lease in accordance with ASC 842. These arrangements and related revenue are immaterial to the periods presented.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59" w:lineRule="exact"/>
        <w:rPr>
          <w:sz w:val="20"/>
          <w:szCs w:val="20"/>
          <w:color w:val="auto"/>
        </w:rPr>
      </w:pPr>
    </w:p>
    <w:p>
      <w:pPr>
        <w:ind w:right="120" w:firstLine="309"/>
        <w:spacing w:after="0" w:line="237" w:lineRule="auto"/>
        <w:rPr>
          <w:sz w:val="20"/>
          <w:szCs w:val="20"/>
          <w:color w:val="auto"/>
        </w:rPr>
      </w:pPr>
      <w:r>
        <w:rPr>
          <w:rFonts w:ascii="Arial" w:cs="Arial" w:eastAsia="Arial" w:hAnsi="Arial"/>
          <w:sz w:val="17"/>
          <w:szCs w:val="17"/>
          <w:color w:val="auto"/>
        </w:rPr>
        <w:t>Revenue is derived primarily from the sales of the AquaBeam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Robotic Systems, and handpieces that are for one-time use during each surgery using the AquaBeam Robotic System. The AquaBeam Robotic System contains both software and non-software components that are delivered together as a single product and generally contain a one-year warranty.</w:t>
      </w:r>
    </w:p>
    <w:p>
      <w:pPr>
        <w:spacing w:after="0" w:line="144" w:lineRule="exact"/>
        <w:rPr>
          <w:sz w:val="20"/>
          <w:szCs w:val="20"/>
          <w:color w:val="auto"/>
        </w:rPr>
      </w:pPr>
    </w:p>
    <w:p>
      <w:pPr>
        <w:ind w:right="20" w:firstLine="309"/>
        <w:spacing w:after="0" w:line="276" w:lineRule="auto"/>
        <w:rPr>
          <w:sz w:val="20"/>
          <w:szCs w:val="20"/>
          <w:color w:val="auto"/>
        </w:rPr>
      </w:pPr>
      <w:r>
        <w:rPr>
          <w:rFonts w:ascii="Arial" w:cs="Arial" w:eastAsia="Arial" w:hAnsi="Arial"/>
          <w:sz w:val="16"/>
          <w:szCs w:val="16"/>
          <w:color w:val="auto"/>
        </w:rPr>
        <w:t>To determine revenue recognition for arrangements that the Company determines are within the scope of ASC Topic 606, Revenue from Contracts with Customers (“ASC 606”), the Company performs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determined those that are performance obligations and assess whether each promised good or service is distinct based on the contract.</w:t>
      </w:r>
    </w:p>
    <w:p>
      <w:pPr>
        <w:spacing w:after="0" w:line="118" w:lineRule="exact"/>
        <w:rPr>
          <w:sz w:val="20"/>
          <w:szCs w:val="20"/>
          <w:color w:val="auto"/>
        </w:rPr>
      </w:pPr>
    </w:p>
    <w:p>
      <w:pPr>
        <w:jc w:val="both"/>
        <w:ind w:right="260" w:firstLine="309"/>
        <w:spacing w:after="0" w:line="266" w:lineRule="auto"/>
        <w:rPr>
          <w:sz w:val="20"/>
          <w:szCs w:val="20"/>
          <w:color w:val="auto"/>
        </w:rPr>
      </w:pPr>
      <w:r>
        <w:rPr>
          <w:rFonts w:ascii="Arial" w:cs="Arial" w:eastAsia="Arial" w:hAnsi="Arial"/>
          <w:sz w:val="17"/>
          <w:szCs w:val="17"/>
          <w:color w:val="auto"/>
        </w:rPr>
        <w:t>The contracts are typically in the form of a master service agreement and a purchase order from the customer. The Company’s AquaBeam Robotic System sales generally contain multiple products and services and can include a combination of the following performance obligations: robotic system, handpieces and consumables, and service.</w:t>
      </w:r>
    </w:p>
    <w:p>
      <w:pPr>
        <w:spacing w:after="0" w:line="124" w:lineRule="exact"/>
        <w:rPr>
          <w:sz w:val="20"/>
          <w:szCs w:val="20"/>
          <w:color w:val="auto"/>
        </w:rPr>
      </w:pPr>
    </w:p>
    <w:p>
      <w:pPr>
        <w:ind w:right="20" w:firstLine="309"/>
        <w:spacing w:after="0" w:line="279" w:lineRule="auto"/>
        <w:rPr>
          <w:sz w:val="20"/>
          <w:szCs w:val="20"/>
          <w:color w:val="auto"/>
        </w:rPr>
      </w:pPr>
      <w:r>
        <w:rPr>
          <w:rFonts w:ascii="Arial" w:cs="Arial" w:eastAsia="Arial" w:hAnsi="Arial"/>
          <w:sz w:val="17"/>
          <w:szCs w:val="17"/>
          <w:color w:val="auto"/>
        </w:rPr>
        <w:t>The Company determines the transaction price it expects to be entitled to in exchange for transferring the promised product to the customer, which is based on the invoiced price for the products. All prices are at fixed amounts per the sales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agreement with the customer and there are generally no discounts, rebates or other price concessions or a right of return, once the agreement is signed.</w:t>
      </w:r>
    </w:p>
    <w:p>
      <w:pPr>
        <w:spacing w:after="0" w:line="177" w:lineRule="exact"/>
        <w:rPr>
          <w:sz w:val="20"/>
          <w:szCs w:val="20"/>
          <w:color w:val="auto"/>
        </w:rPr>
      </w:pPr>
    </w:p>
    <w:p>
      <w:pPr>
        <w:ind w:right="60" w:firstLine="309"/>
        <w:spacing w:after="0" w:line="259" w:lineRule="auto"/>
        <w:rPr>
          <w:sz w:val="20"/>
          <w:szCs w:val="20"/>
          <w:color w:val="auto"/>
        </w:rPr>
      </w:pPr>
      <w:r>
        <w:rPr>
          <w:rFonts w:ascii="Arial" w:cs="Arial" w:eastAsia="Arial" w:hAnsi="Arial"/>
          <w:sz w:val="17"/>
          <w:szCs w:val="17"/>
          <w:color w:val="auto"/>
        </w:rPr>
        <w:t>For multiple-element arrangements,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geographies, and type of customer. The Company regularly reviews standalone selling prices and update these estimates as necessary.</w:t>
      </w:r>
    </w:p>
    <w:p>
      <w:pPr>
        <w:spacing w:after="0" w:line="131" w:lineRule="exact"/>
        <w:rPr>
          <w:sz w:val="20"/>
          <w:szCs w:val="20"/>
          <w:color w:val="auto"/>
        </w:rPr>
      </w:pPr>
    </w:p>
    <w:p>
      <w:pPr>
        <w:ind w:right="220" w:firstLine="309"/>
        <w:spacing w:after="0" w:line="279" w:lineRule="auto"/>
        <w:rPr>
          <w:sz w:val="20"/>
          <w:szCs w:val="20"/>
          <w:color w:val="auto"/>
        </w:rPr>
      </w:pPr>
      <w:r>
        <w:rPr>
          <w:rFonts w:ascii="Arial" w:cs="Arial" w:eastAsia="Arial" w:hAnsi="Arial"/>
          <w:sz w:val="17"/>
          <w:szCs w:val="17"/>
          <w:color w:val="auto"/>
        </w:rPr>
        <w:t>The Company recognizes revenue as the performance obligations are satisfied by transferring control of the product or service to a customer. The Company generally recognizes revenue for the performance obligations at the following points in time:</w:t>
      </w:r>
    </w:p>
    <w:p>
      <w:pPr>
        <w:spacing w:after="0" w:line="113" w:lineRule="exact"/>
        <w:rPr>
          <w:sz w:val="20"/>
          <w:szCs w:val="20"/>
          <w:color w:val="auto"/>
        </w:rPr>
      </w:pPr>
    </w:p>
    <w:p>
      <w:pPr>
        <w:ind w:right="20" w:firstLine="309"/>
        <w:spacing w:after="0" w:line="276" w:lineRule="auto"/>
        <w:rPr>
          <w:sz w:val="20"/>
          <w:szCs w:val="20"/>
          <w:color w:val="auto"/>
        </w:rPr>
      </w:pPr>
      <w:r>
        <w:rPr>
          <w:rFonts w:ascii="Arial" w:cs="Arial" w:eastAsia="Arial" w:hAnsi="Arial"/>
          <w:sz w:val="16"/>
          <w:szCs w:val="16"/>
          <w:i w:val="1"/>
          <w:iCs w:val="1"/>
          <w:color w:val="auto"/>
        </w:rPr>
        <w:t xml:space="preserve">AquaBeam Robotic Systems </w:t>
      </w:r>
      <w:r>
        <w:rPr>
          <w:rFonts w:ascii="Arial" w:cs="Arial" w:eastAsia="Arial" w:hAnsi="Arial"/>
          <w:sz w:val="16"/>
          <w:szCs w:val="16"/>
          <w:color w:val="auto"/>
        </w:rPr>
        <w:t>- For systems (including system components and system accessories) sold directly to end customers, revenue is recognized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transfers control to the customer, which is generally at the time of delivery. Systems rented for a fixed monthly fee during an evaluation period, typically 3-12 months, are recognized as revenue straight-line during the lease term, in accordance with ASC 842, and are not material. For systems sold following an evaluation period, revenue is recognized generally once sales terms are mutually agreed (as the system is already installed at the customer site). For systems sold through distributors, revenue is recognized generally at the time of delivery to the distributor. The Company’s system arrangements generally do not provide a right of return. The systems are generally covered by a one-year service agreement included in the warranty. The service agreements have a stand alone selling price and are typically recognized as deferred revenue and amortized over the one-year service period.</w:t>
      </w:r>
    </w:p>
    <w:p>
      <w:pPr>
        <w:spacing w:after="0" w:line="118"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i w:val="1"/>
          <w:iCs w:val="1"/>
          <w:color w:val="auto"/>
        </w:rPr>
        <w:t xml:space="preserve">Hand pieces and other consumables </w:t>
      </w:r>
      <w:r>
        <w:rPr>
          <w:rFonts w:ascii="Arial" w:cs="Arial" w:eastAsia="Arial" w:hAnsi="Arial"/>
          <w:sz w:val="17"/>
          <w:szCs w:val="17"/>
          <w:color w:val="auto"/>
        </w:rPr>
        <w:t>- Revenue from sales of handpieces and other consumables is recognized when control is transferred to the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which generally occurs at the time of shipment but also occurs at the time of delivery.</w:t>
      </w:r>
    </w:p>
    <w:p>
      <w:pPr>
        <w:spacing w:after="0" w:line="113"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i w:val="1"/>
          <w:iCs w:val="1"/>
          <w:color w:val="auto"/>
        </w:rPr>
        <w:t xml:space="preserve">Service </w:t>
      </w:r>
      <w:r>
        <w:rPr>
          <w:rFonts w:ascii="Arial" w:cs="Arial" w:eastAsia="Arial" w:hAnsi="Arial"/>
          <w:sz w:val="17"/>
          <w:szCs w:val="17"/>
          <w:color w:val="auto"/>
        </w:rPr>
        <w:t>- Service revenue, inclusive of the amounts associated with the AquaBeam Robotic System warranties, is recognized over the term of the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as the customer benefits from the services throughout the service period.</w:t>
      </w:r>
    </w:p>
    <w:p>
      <w:pPr>
        <w:spacing w:after="0" w:line="113" w:lineRule="exact"/>
        <w:rPr>
          <w:sz w:val="20"/>
          <w:szCs w:val="20"/>
          <w:color w:val="auto"/>
        </w:rPr>
      </w:pPr>
    </w:p>
    <w:p>
      <w:pPr>
        <w:ind w:right="380" w:firstLine="309"/>
        <w:spacing w:after="0" w:line="279" w:lineRule="auto"/>
        <w:rPr>
          <w:sz w:val="20"/>
          <w:szCs w:val="20"/>
          <w:color w:val="auto"/>
        </w:rPr>
      </w:pPr>
      <w:r>
        <w:rPr>
          <w:rFonts w:ascii="Arial" w:cs="Arial" w:eastAsia="Arial" w:hAnsi="Arial"/>
          <w:sz w:val="17"/>
          <w:szCs w:val="17"/>
          <w:color w:val="auto"/>
        </w:rPr>
        <w:t>The Company has determined that certain promises in the multiple-element arrangements, such as installation, training and certain ancillary products, are immaterial, and/or do not represent separate performance obligations for which transaction price is allocated.</w:t>
      </w:r>
    </w:p>
    <w:p>
      <w:pPr>
        <w:spacing w:after="0" w:line="113" w:lineRule="exact"/>
        <w:rPr>
          <w:sz w:val="20"/>
          <w:szCs w:val="20"/>
          <w:color w:val="auto"/>
        </w:rPr>
      </w:pPr>
    </w:p>
    <w:p>
      <w:pPr>
        <w:ind w:right="120" w:firstLine="309"/>
        <w:spacing w:after="0" w:line="279" w:lineRule="auto"/>
        <w:rPr>
          <w:sz w:val="20"/>
          <w:szCs w:val="20"/>
          <w:color w:val="auto"/>
        </w:rPr>
      </w:pPr>
      <w:r>
        <w:rPr>
          <w:rFonts w:ascii="Arial" w:cs="Arial" w:eastAsia="Arial" w:hAnsi="Arial"/>
          <w:sz w:val="17"/>
          <w:szCs w:val="17"/>
          <w:color w:val="auto"/>
        </w:rPr>
        <w:t>The timing of revenue recognition may differ from the timing of invoicing to customers. The Company records deferred revenue when revenue is recognized subsequent to invoicing, such as service contracts, which are recognized ratably as revenue over the performance period.</w:t>
      </w:r>
    </w:p>
    <w:p>
      <w:pPr>
        <w:spacing w:after="0" w:line="113" w:lineRule="exact"/>
        <w:rPr>
          <w:sz w:val="20"/>
          <w:szCs w:val="20"/>
          <w:color w:val="auto"/>
        </w:rPr>
      </w:pPr>
    </w:p>
    <w:p>
      <w:pPr>
        <w:ind w:firstLine="309"/>
        <w:spacing w:after="0" w:line="302" w:lineRule="auto"/>
        <w:rPr>
          <w:sz w:val="20"/>
          <w:szCs w:val="20"/>
          <w:color w:val="auto"/>
        </w:rPr>
      </w:pPr>
      <w:r>
        <w:rPr>
          <w:rFonts w:ascii="Arial" w:cs="Arial" w:eastAsia="Arial" w:hAnsi="Arial"/>
          <w:sz w:val="15"/>
          <w:szCs w:val="15"/>
          <w:color w:val="auto"/>
        </w:rPr>
        <w:t>The Company’s typical payment terms are between approximately 30 to 90 days. The Company expenses shipping and handling costs as incurred and includes them in the cost of sales. In those cases where shipping and handling costs are billed to customers, the Company classifies the amounts billed as a component of revenue. Taxes collected from customers and remitted to governmental authorities are excluded from revenue. The Company expenses any incremental costs of obtaining a contract, including but not limited to, sales commissions, as and when incurred as the expected amortization period of the incremental costs would have been less than one year and are reported in selling, general and administrative expense in the statements of operations and comprehensive loss.</w:t>
      </w:r>
    </w:p>
    <w:p>
      <w:pPr>
        <w:spacing w:after="0" w:line="101"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The Company utilizes the practical expedient under ASC 606 and does not disclose unsatisfied performance obligations for service contracts as these contracts generally have an original duration of less than one year. For those contracts with an original duration exceeding one year, the aggregate amount of transaction price allocated to the performance obligations unsatisfied at December 31, 2022 was not material.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Sales</w:t>
      </w:r>
    </w:p>
    <w:p>
      <w:pPr>
        <w:spacing w:after="0" w:line="165" w:lineRule="exact"/>
        <w:rPr>
          <w:sz w:val="20"/>
          <w:szCs w:val="20"/>
          <w:color w:val="auto"/>
        </w:rPr>
      </w:pPr>
    </w:p>
    <w:p>
      <w:pPr>
        <w:jc w:val="both"/>
        <w:ind w:right="40" w:firstLine="309"/>
        <w:spacing w:after="0" w:line="318" w:lineRule="auto"/>
        <w:rPr>
          <w:sz w:val="20"/>
          <w:szCs w:val="20"/>
          <w:color w:val="auto"/>
        </w:rPr>
      </w:pPr>
      <w:r>
        <w:rPr>
          <w:rFonts w:ascii="Arial" w:cs="Arial" w:eastAsia="Arial" w:hAnsi="Arial"/>
          <w:sz w:val="15"/>
          <w:szCs w:val="15"/>
          <w:color w:val="auto"/>
        </w:rPr>
        <w:t>Cost of sales consists primarily of manufacturing overhead costs, material costs and direct labor, including stock-based compensation. A significant portion of the Company’s cost of sales currently consists of manufacturing overhead costs. These overhead costs include the cost of quality assurance, material procurement, inventory control, facilities, equipment and operations supervision and management. Cost of sales also includes depreciation expense for production equipment,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warranty, including any recalls, and field service costs, and purchased intangibles and certain direct costs such as shipping costs.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5" w:lineRule="exact"/>
        <w:rPr>
          <w:sz w:val="20"/>
          <w:szCs w:val="20"/>
          <w:color w:val="auto"/>
        </w:rPr>
      </w:pPr>
    </w:p>
    <w:p>
      <w:pPr>
        <w:ind w:right="80" w:firstLine="309"/>
        <w:spacing w:after="0" w:line="318" w:lineRule="auto"/>
        <w:rPr>
          <w:sz w:val="20"/>
          <w:szCs w:val="20"/>
          <w:color w:val="auto"/>
        </w:rPr>
      </w:pPr>
      <w:r>
        <w:rPr>
          <w:rFonts w:ascii="Arial" w:cs="Arial" w:eastAsia="Arial" w:hAnsi="Arial"/>
          <w:sz w:val="15"/>
          <w:szCs w:val="15"/>
          <w:color w:val="auto"/>
        </w:rPr>
        <w:t>Research and development costs are expensed as incurred. Research and development costs consist primarily of engineering, product development, and regulatory affairs, consulting services, materials, depreciation and other costs associated with products and technologies being developed, including employee and non-employee compensation, stock-based compensation, supplies, quality assurance expenses, related travel expenses and facilities expenses.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65" w:lineRule="exact"/>
        <w:rPr>
          <w:sz w:val="20"/>
          <w:szCs w:val="20"/>
          <w:color w:val="auto"/>
        </w:rPr>
      </w:pPr>
    </w:p>
    <w:p>
      <w:pPr>
        <w:jc w:val="both"/>
        <w:ind w:right="300" w:firstLine="309"/>
        <w:spacing w:after="0" w:line="266" w:lineRule="auto"/>
        <w:rPr>
          <w:sz w:val="20"/>
          <w:szCs w:val="20"/>
          <w:color w:val="auto"/>
        </w:rPr>
      </w:pPr>
      <w:r>
        <w:rPr>
          <w:rFonts w:ascii="Arial" w:cs="Arial" w:eastAsia="Arial" w:hAnsi="Arial"/>
          <w:sz w:val="17"/>
          <w:szCs w:val="17"/>
          <w:color w:val="auto"/>
        </w:rPr>
        <w:t xml:space="preserve">The Company accounts for stock options granted to employees and directors under the fair value recognition provision of ASC 718, Compensation - </w:t>
      </w:r>
      <w:r>
        <w:rPr>
          <w:rFonts w:ascii="Arial" w:cs="Arial" w:eastAsia="Arial" w:hAnsi="Arial"/>
          <w:sz w:val="17"/>
          <w:szCs w:val="17"/>
          <w:i w:val="1"/>
          <w:iCs w:val="1"/>
          <w:color w:val="auto"/>
        </w:rPr>
        <w:t>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Stock-based compensation expense is recognized over the requisite service period in the statements of operations and comprehensive loss.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uses the straight-line method for expense attribution.</w:t>
      </w:r>
    </w:p>
    <w:p>
      <w:pPr>
        <w:spacing w:after="0" w:line="124" w:lineRule="exact"/>
        <w:rPr>
          <w:sz w:val="20"/>
          <w:szCs w:val="20"/>
          <w:color w:val="auto"/>
        </w:rPr>
      </w:pPr>
    </w:p>
    <w:p>
      <w:pPr>
        <w:ind w:right="20" w:firstLine="309"/>
        <w:spacing w:after="0" w:line="272" w:lineRule="auto"/>
        <w:rPr>
          <w:sz w:val="20"/>
          <w:szCs w:val="20"/>
          <w:color w:val="auto"/>
        </w:rPr>
      </w:pPr>
      <w:r>
        <w:rPr>
          <w:rFonts w:ascii="Arial" w:cs="Arial" w:eastAsia="Arial" w:hAnsi="Arial"/>
          <w:sz w:val="16"/>
          <w:szCs w:val="16"/>
          <w:color w:val="auto"/>
        </w:rPr>
        <w:t>The Company estimates the fair value of stock options on the date of grant using the Black-Scholes option-pricing model. The Black-Scholes model determines the fair value of stock-based payment awards based on the fair market value of the Company’s common stock on the date of grant and is affected by assumptions regarding a number of highly complex and subjective variables. These variables include, but are not limited to, the fair market value of the Company’s common stock, volatility over the expected term of the awards and actual and projected employee stock option exercise behaviors. The Company has opted to use the “simplified method” for estimating the expected term of options, whereby the expected term equals the arithmetic average of the vesting term and the original contractual term of the option. Due to the Company’s limited operating history and limited company specific historical and implied volatility data, the Company has based its estimate of expected volatility on the historical volatility of a group of similar companies that are publicly traded. When selecting these public companies on which it has based its expected stock price volatility, the Company generally selected companies with comparable characteristics to it, including enterprise value, stages of clinical development,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share-based payments. The Company will continue to analyze the historical stock price volatility and expected term assumptions as more historical data for the Company’s common stock becomes available. The risk-free rate assumption is based on the U.S. Treasury instruments with maturities similar to the expected term of the Company’s stock options. The expected dividend assumption is based on the Company’s history of not paying dividends and its expectation that it will not declare dividends for the foreseeable future. The Company has elected to account for forfeitures when they occur.</w:t>
      </w:r>
    </w:p>
    <w:p>
      <w:pPr>
        <w:spacing w:after="0" w:line="121" w:lineRule="exact"/>
        <w:rPr>
          <w:sz w:val="20"/>
          <w:szCs w:val="20"/>
          <w:color w:val="auto"/>
        </w:rPr>
      </w:pPr>
    </w:p>
    <w:p>
      <w:pPr>
        <w:ind w:firstLine="309"/>
        <w:spacing w:after="0" w:line="283" w:lineRule="auto"/>
        <w:rPr>
          <w:sz w:val="20"/>
          <w:szCs w:val="20"/>
          <w:color w:val="auto"/>
        </w:rPr>
      </w:pPr>
      <w:r>
        <w:rPr>
          <w:rFonts w:ascii="Arial" w:cs="Arial" w:eastAsia="Arial" w:hAnsi="Arial"/>
          <w:sz w:val="16"/>
          <w:szCs w:val="16"/>
          <w:color w:val="auto"/>
        </w:rPr>
        <w:t>The fair value of the Company’s common stock underlying the stock options has historically been determined by the Company’s board of directors (“Board”). Because there was no public market for the Company’s common stock prior to the IPO, the Board determined the fair value of the Company’s common stock at the time of grant of the option by considering a number of objective and subjective factors, including valuations of comparable companies, sales of the Company’s redeemable convertible preferred stock, operating and financial performance and the general and industry-specific economic outlook.</w:t>
      </w:r>
    </w:p>
    <w:p>
      <w:pPr>
        <w:spacing w:after="0" w:line="112" w:lineRule="exact"/>
        <w:rPr>
          <w:sz w:val="20"/>
          <w:szCs w:val="20"/>
          <w:color w:val="auto"/>
        </w:rPr>
      </w:pPr>
    </w:p>
    <w:p>
      <w:pPr>
        <w:jc w:val="both"/>
        <w:ind w:right="80" w:firstLine="309"/>
        <w:spacing w:after="0" w:line="266" w:lineRule="auto"/>
        <w:rPr>
          <w:sz w:val="20"/>
          <w:szCs w:val="20"/>
          <w:color w:val="auto"/>
        </w:rPr>
      </w:pPr>
      <w:r>
        <w:rPr>
          <w:rFonts w:ascii="Arial" w:cs="Arial" w:eastAsia="Arial" w:hAnsi="Arial"/>
          <w:sz w:val="17"/>
          <w:szCs w:val="17"/>
          <w:color w:val="auto"/>
        </w:rPr>
        <w:t>The Company accounts for the fair value of restricted stock units (“RSUs”) using the closing market price of the Company’s common stock on the date of the grant. Stock-based compensation cost for RSUs is measured at the grant date based on the estimated fair value of the award and is recognized as expense over the requisite service period (generally the vesting period), net of forfeitures.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Valuation</w:t>
      </w:r>
    </w:p>
    <w:p>
      <w:pPr>
        <w:spacing w:after="0" w:line="165" w:lineRule="exact"/>
        <w:rPr>
          <w:sz w:val="20"/>
          <w:szCs w:val="20"/>
          <w:color w:val="auto"/>
        </w:rPr>
      </w:pPr>
    </w:p>
    <w:p>
      <w:pPr>
        <w:ind w:right="40" w:firstLine="309"/>
        <w:spacing w:after="0" w:line="259" w:lineRule="auto"/>
        <w:rPr>
          <w:sz w:val="20"/>
          <w:szCs w:val="20"/>
          <w:color w:val="auto"/>
        </w:rPr>
      </w:pPr>
      <w:r>
        <w:rPr>
          <w:rFonts w:ascii="Arial" w:cs="Arial" w:eastAsia="Arial" w:hAnsi="Arial"/>
          <w:sz w:val="17"/>
          <w:szCs w:val="17"/>
          <w:color w:val="auto"/>
        </w:rPr>
        <w:t>The Company’s intent has been to grant all options with an exercise price not less than the fair value of its common stock underlying those options on the date of grant. Prior to its IPO, the Company has determined the estimated fair value of its common stock at each valuation date in accordance with the guidelines outlined in the American Institute of Certified Public Accountants Practice Aid, Valuation of Privately-Held-Company Equity Securities Issued as Compensation (the “Practice Aid”). The Company’s board of directors, with the assistance of management, developed these valuations using significant judgment and taking into account numerous factors, including:</w:t>
      </w:r>
    </w:p>
    <w:p>
      <w:pPr>
        <w:spacing w:after="0" w:line="131" w:lineRule="exact"/>
        <w:rPr>
          <w:sz w:val="20"/>
          <w:szCs w:val="20"/>
          <w:color w:val="auto"/>
        </w:rPr>
      </w:pPr>
    </w:p>
    <w:p>
      <w:pPr>
        <w:ind w:left="620" w:hanging="307"/>
        <w:spacing w:after="0"/>
        <w:tabs>
          <w:tab w:leader="none" w:pos="6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valuations of its common stock with the assistance of independent third-party valuation specialists;</w:t>
      </w:r>
    </w:p>
    <w:p>
      <w:pPr>
        <w:spacing w:after="0" w:line="200" w:lineRule="exact"/>
        <w:rPr>
          <w:rFonts w:ascii="Arial" w:cs="Arial" w:eastAsia="Arial" w:hAnsi="Arial"/>
          <w:sz w:val="17"/>
          <w:szCs w:val="17"/>
          <w:color w:val="auto"/>
        </w:rPr>
      </w:pPr>
    </w:p>
    <w:p>
      <w:pPr>
        <w:spacing w:after="0" w:line="37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20" w:right="200" w:hanging="307"/>
        <w:spacing w:after="0" w:line="279" w:lineRule="auto"/>
        <w:tabs>
          <w:tab w:leader="none" w:pos="6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stage of development and business strategy, including the status of research and development efforts, of its products and product candidates, and the material risks related to its business and industry;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results of operations and financial position, including its levels of available capital resources;</w:t>
      </w:r>
    </w:p>
    <w:p>
      <w:pPr>
        <w:spacing w:after="0" w:line="165" w:lineRule="exact"/>
        <w:rPr>
          <w:rFonts w:ascii="Arial" w:cs="Arial" w:eastAsia="Arial" w:hAnsi="Arial"/>
          <w:sz w:val="17"/>
          <w:szCs w:val="17"/>
          <w:color w:val="auto"/>
        </w:rPr>
      </w:pPr>
    </w:p>
    <w:p>
      <w:pPr>
        <w:ind w:left="620" w:right="100" w:hanging="307"/>
        <w:spacing w:after="0" w:line="279" w:lineRule="auto"/>
        <w:tabs>
          <w:tab w:leader="none" w:pos="6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valuation of publicly traded companies in the life sciences and medical device sectors, as well as recently completed mergers and acquisitions of peer companies;</w:t>
      </w:r>
    </w:p>
    <w:p>
      <w:pPr>
        <w:spacing w:after="0" w:line="112" w:lineRule="exact"/>
        <w:rPr>
          <w:rFonts w:ascii="Arial" w:cs="Arial" w:eastAsia="Arial" w:hAnsi="Arial"/>
          <w:sz w:val="17"/>
          <w:szCs w:val="17"/>
          <w:color w:val="auto"/>
        </w:rPr>
      </w:pPr>
    </w:p>
    <w:p>
      <w:pPr>
        <w:ind w:left="620" w:right="440" w:hanging="307"/>
        <w:spacing w:after="0" w:line="279" w:lineRule="auto"/>
        <w:tabs>
          <w:tab w:leader="none" w:pos="6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prices of its redeemable convertible preferred stock sold to investors in arm’s length transactions and the rights, preferences, and privileges of its redeemable convertible preferred stock relative to those of its common stock;</w:t>
      </w:r>
    </w:p>
    <w:p>
      <w:pPr>
        <w:spacing w:after="0" w:line="112" w:lineRule="exact"/>
        <w:rPr>
          <w:rFonts w:ascii="Arial" w:cs="Arial" w:eastAsia="Arial" w:hAnsi="Arial"/>
          <w:sz w:val="17"/>
          <w:szCs w:val="17"/>
          <w:color w:val="auto"/>
        </w:rPr>
      </w:pPr>
    </w:p>
    <w:p>
      <w:pPr>
        <w:ind w:left="620" w:right="640" w:hanging="307"/>
        <w:spacing w:after="0" w:line="279" w:lineRule="auto"/>
        <w:tabs>
          <w:tab w:leader="none" w:pos="6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likelihood of achieving a liquidity event for the holders of its common stock, such as an initial public offering or a sale of the Company given prevailing market conditions;</w:t>
      </w:r>
    </w:p>
    <w:p>
      <w:pPr>
        <w:spacing w:after="0" w:line="112" w:lineRule="exact"/>
        <w:rPr>
          <w:rFonts w:ascii="Arial" w:cs="Arial" w:eastAsia="Arial" w:hAnsi="Arial"/>
          <w:sz w:val="17"/>
          <w:szCs w:val="17"/>
          <w:color w:val="auto"/>
        </w:rPr>
      </w:pPr>
    </w:p>
    <w:p>
      <w:pPr>
        <w:ind w:left="620" w:right="840" w:hanging="307"/>
        <w:spacing w:after="0" w:line="279" w:lineRule="auto"/>
        <w:tabs>
          <w:tab w:leader="none" w:pos="616"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inability of the Company’s stockholders to freely trade its common stock in the public markets, resulting in a discount to reflect the lack of marketability of the Company’s common stock based on the weighted-average expected time to liquidity.</w:t>
      </w:r>
    </w:p>
    <w:p>
      <w:pPr>
        <w:spacing w:after="0" w:line="112" w:lineRule="exact"/>
        <w:rPr>
          <w:rFonts w:ascii="Arial" w:cs="Arial" w:eastAsia="Arial" w:hAnsi="Arial"/>
          <w:sz w:val="17"/>
          <w:szCs w:val="17"/>
          <w:color w:val="auto"/>
        </w:rPr>
      </w:pPr>
    </w:p>
    <w:p>
      <w:pPr>
        <w:ind w:left="620" w:hanging="307"/>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trends and developments in its industry; and</w:t>
      </w:r>
    </w:p>
    <w:p>
      <w:pPr>
        <w:spacing w:after="0" w:line="165" w:lineRule="exact"/>
        <w:rPr>
          <w:rFonts w:ascii="Arial" w:cs="Arial" w:eastAsia="Arial" w:hAnsi="Arial"/>
          <w:sz w:val="17"/>
          <w:szCs w:val="17"/>
          <w:color w:val="auto"/>
        </w:rPr>
      </w:pPr>
    </w:p>
    <w:p>
      <w:pPr>
        <w:ind w:left="620" w:hanging="307"/>
        <w:spacing w:after="0"/>
        <w:tabs>
          <w:tab w:leader="none" w:pos="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external market conditions affecting the life sciences and medical device industry sectors.</w:t>
      </w:r>
    </w:p>
    <w:p>
      <w:pPr>
        <w:spacing w:after="0" w:line="165" w:lineRule="exact"/>
        <w:rPr>
          <w:sz w:val="20"/>
          <w:szCs w:val="20"/>
          <w:color w:val="auto"/>
        </w:rPr>
      </w:pPr>
    </w:p>
    <w:p>
      <w:pPr>
        <w:ind w:firstLine="309"/>
        <w:spacing w:after="0" w:line="283" w:lineRule="auto"/>
        <w:rPr>
          <w:sz w:val="20"/>
          <w:szCs w:val="20"/>
          <w:color w:val="auto"/>
        </w:rPr>
      </w:pPr>
      <w:r>
        <w:rPr>
          <w:rFonts w:ascii="Arial" w:cs="Arial" w:eastAsia="Arial" w:hAnsi="Arial"/>
          <w:sz w:val="16"/>
          <w:szCs w:val="16"/>
          <w:color w:val="auto"/>
        </w:rPr>
        <w:t>The Company’s board of directors determined the fair value of its common stock by first determining the enterprise value of the Company’s business using the market approach, income approach or from the value implied by the latest round of equity financing, and then allocating the value among the various classes of its equity securities to derive a per share value of its common stock. The Practice Aid identifies various available methods for allocating enterprise value across classes and series of capital stock to determine the estimated fair value of common stock at each valuation date.</w:t>
      </w:r>
    </w:p>
    <w:p>
      <w:pPr>
        <w:spacing w:after="0" w:line="112" w:lineRule="exact"/>
        <w:rPr>
          <w:sz w:val="20"/>
          <w:szCs w:val="20"/>
          <w:color w:val="auto"/>
        </w:rPr>
      </w:pPr>
    </w:p>
    <w:p>
      <w:pPr>
        <w:ind w:right="60" w:firstLine="309"/>
        <w:spacing w:after="0" w:line="276" w:lineRule="auto"/>
        <w:rPr>
          <w:sz w:val="20"/>
          <w:szCs w:val="20"/>
          <w:color w:val="auto"/>
        </w:rPr>
      </w:pPr>
      <w:r>
        <w:rPr>
          <w:rFonts w:ascii="Arial" w:cs="Arial" w:eastAsia="Arial" w:hAnsi="Arial"/>
          <w:sz w:val="16"/>
          <w:szCs w:val="16"/>
          <w:color w:val="auto"/>
        </w:rPr>
        <w:t>For all options granted prior to the Company’s IPO in September 2021, the Board allocated the enterprise value based on the option pricing method (“OPM”). OPM treats the rights of the holders of preferred 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When valuing options granted around the time of an equity financing that is considered arms-length, OPM derived the Company’s equity value of a company from the price of the securities issued by the Company in the equity financing. Following the completion of the Company’s IPO in September 2021, the fair value of the Company’s common stock is determined based on the closing price of its common stock on The Nasdaq Global Market.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expenses the costs of advertising, including promotional expenses, as incurred. Advertising expenses were not significant.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w:t>
      </w:r>
    </w:p>
    <w:p>
      <w:pPr>
        <w:spacing w:after="0" w:line="165" w:lineRule="exact"/>
        <w:rPr>
          <w:sz w:val="20"/>
          <w:szCs w:val="20"/>
          <w:color w:val="auto"/>
        </w:rPr>
      </w:pPr>
    </w:p>
    <w:p>
      <w:pPr>
        <w:jc w:val="both"/>
        <w:ind w:right="180" w:firstLine="309"/>
        <w:spacing w:after="0" w:line="266" w:lineRule="auto"/>
        <w:rPr>
          <w:sz w:val="20"/>
          <w:szCs w:val="20"/>
          <w:color w:val="auto"/>
        </w:rPr>
      </w:pPr>
      <w:r>
        <w:rPr>
          <w:rFonts w:ascii="Arial" w:cs="Arial" w:eastAsia="Arial" w:hAnsi="Arial"/>
          <w:sz w:val="17"/>
          <w:szCs w:val="17"/>
          <w:color w:val="auto"/>
        </w:rPr>
        <w:t>The Company has a defined contribution retirement savings plan under Section 401(k) of the Internal Revenue Code. This plan allows eligible employees to defer a portion of their annual compensation on a pre-tax basis. The Company is authorized to make matching contributions but has not made such contributions for the years ended December 31, 2022 and 2021.</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65" w:lineRule="exact"/>
        <w:rPr>
          <w:sz w:val="20"/>
          <w:szCs w:val="20"/>
          <w:color w:val="auto"/>
        </w:rPr>
      </w:pPr>
    </w:p>
    <w:p>
      <w:pPr>
        <w:ind w:right="40" w:firstLine="309"/>
        <w:spacing w:after="0" w:line="299" w:lineRule="auto"/>
        <w:rPr>
          <w:sz w:val="20"/>
          <w:szCs w:val="20"/>
          <w:color w:val="auto"/>
        </w:rPr>
      </w:pPr>
      <w:r>
        <w:rPr>
          <w:rFonts w:ascii="Arial" w:cs="Arial" w:eastAsia="Arial" w:hAnsi="Arial"/>
          <w:sz w:val="15"/>
          <w:szCs w:val="15"/>
          <w:color w:val="auto"/>
        </w:rPr>
        <w:t>The Company accounts for income taxes under the asset and liability method. Under this method, deferred tax assets and liabilities are determined based on the differences between the financial reporting and tax bases of assets and liabilities and are measured using the enacted tax rates that will be in effect when the differences are expected to reverse. Valuation allowances against deferred tax assets are established when necessary to reduce deferred tax assets to the amounts expected to be realized. Currently, the Company has recorded a full valuation allowance against its deferred tax assets and there is no provision for income taxes, as the Company has incurred operating losses to-date. The Company’s policy is to record interest and penalties related to uncertain tax positions as a component of income tax expense in the statement of operations. To date, there have been no interest or penalties charged in relation to the unrecognized tax benefits.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65" w:lineRule="exact"/>
        <w:rPr>
          <w:sz w:val="20"/>
          <w:szCs w:val="20"/>
          <w:color w:val="auto"/>
        </w:rPr>
      </w:pPr>
    </w:p>
    <w:p>
      <w:pPr>
        <w:ind w:right="120" w:firstLine="309"/>
        <w:spacing w:after="0" w:line="307" w:lineRule="auto"/>
        <w:rPr>
          <w:sz w:val="20"/>
          <w:szCs w:val="20"/>
          <w:color w:val="auto"/>
        </w:rPr>
      </w:pPr>
      <w:r>
        <w:rPr>
          <w:rFonts w:ascii="Arial" w:cs="Arial" w:eastAsia="Arial" w:hAnsi="Arial"/>
          <w:sz w:val="15"/>
          <w:szCs w:val="15"/>
          <w:color w:val="auto"/>
        </w:rPr>
        <w:t>Basic net loss per share is computed by dividing the net loss by the weighted-average number of shares of common stock outstanding during the period. Diluted net loss per share is computed by dividing the net loss by the weighted-average number of shares of common stock and common stock equivalent shares from dilutive stock options and common stock warrants outstanding during the period. Because the Company has reported a net loss for all periods presented, diluted net loss per share is the same as basic net loss per share for those periods as all potentially dilutive securities were antidilutive in those periods.</w:t>
      </w:r>
    </w:p>
    <w:p>
      <w:pPr>
        <w:spacing w:after="0" w:line="97"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The Company allocates no loss to participating securities because they have no contractual obligation to share in the losses of the Company. The shares of the Company’s redeemable convertible preferred stock participated in any dividends declared by the Company and were therefore considered to be participating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Gain (Loss)</w:t>
      </w:r>
    </w:p>
    <w:p>
      <w:pPr>
        <w:spacing w:after="0" w:line="165"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Comprehensive gain (loss) consists of net gains (losses) and changes in unrealized gains and losses on cash equivalents. Accumulated other comprehensive loss is presented in the accompanying balance sheets, when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165" w:lineRule="exact"/>
        <w:rPr>
          <w:sz w:val="20"/>
          <w:szCs w:val="20"/>
          <w:color w:val="auto"/>
        </w:rPr>
      </w:pPr>
    </w:p>
    <w:p>
      <w:pPr>
        <w:ind w:right="660" w:firstLine="309"/>
        <w:spacing w:after="0" w:line="279" w:lineRule="auto"/>
        <w:rPr>
          <w:sz w:val="20"/>
          <w:szCs w:val="20"/>
          <w:color w:val="auto"/>
        </w:rPr>
      </w:pPr>
      <w:r>
        <w:rPr>
          <w:rFonts w:ascii="Arial" w:cs="Arial" w:eastAsia="Arial" w:hAnsi="Arial"/>
          <w:sz w:val="17"/>
          <w:szCs w:val="17"/>
          <w:color w:val="auto"/>
        </w:rPr>
        <w:t>The Company operates as a single operating segment. The Company’s chief operating decision maker, its Chief Executive Officer, reviews financial information on an aggregate basis for the purposes of allocating resources and evaluating financial performance.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65" w:lineRule="exact"/>
        <w:rPr>
          <w:sz w:val="20"/>
          <w:szCs w:val="20"/>
          <w:color w:val="auto"/>
        </w:rPr>
      </w:pPr>
    </w:p>
    <w:p>
      <w:pPr>
        <w:jc w:val="both"/>
        <w:ind w:right="20" w:firstLine="309"/>
        <w:spacing w:after="0" w:line="290" w:lineRule="auto"/>
        <w:rPr>
          <w:sz w:val="20"/>
          <w:szCs w:val="20"/>
          <w:color w:val="auto"/>
        </w:rPr>
      </w:pPr>
      <w:r>
        <w:rPr>
          <w:rFonts w:ascii="Arial" w:cs="Arial" w:eastAsia="Arial" w:hAnsi="Arial"/>
          <w:sz w:val="16"/>
          <w:szCs w:val="16"/>
          <w:color w:val="auto"/>
        </w:rPr>
        <w:t>On December 31, 2022, as the Company no longer qualified as an emerging growth company, the Company retroactively adopted both Accounting Standards Update (“ASU”) No. 2016-13, Financial Instruments—Credit Losses (Topic 326) Measurement of Credit Losses on Financial Instruments (“ASU 2016-13”) and No. 2020-4, Reference Rate Reform (Topic 848): Facilitation of the Effects of Reference Rate Reform on Financial Reporting (“ASU 2020-4”).</w:t>
      </w:r>
    </w:p>
    <w:p>
      <w:pPr>
        <w:spacing w:after="0" w:line="107" w:lineRule="exact"/>
        <w:rPr>
          <w:sz w:val="20"/>
          <w:szCs w:val="20"/>
          <w:color w:val="auto"/>
        </w:rPr>
      </w:pPr>
    </w:p>
    <w:p>
      <w:pPr>
        <w:ind w:right="80" w:firstLine="309"/>
        <w:spacing w:after="0" w:line="276" w:lineRule="auto"/>
        <w:rPr>
          <w:sz w:val="20"/>
          <w:szCs w:val="20"/>
          <w:color w:val="auto"/>
        </w:rPr>
      </w:pPr>
      <w:r>
        <w:rPr>
          <w:rFonts w:ascii="Arial" w:cs="Arial" w:eastAsia="Arial" w:hAnsi="Arial"/>
          <w:sz w:val="16"/>
          <w:szCs w:val="16"/>
          <w:color w:val="auto"/>
        </w:rPr>
        <w:t>ASU 2016-13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Financial Instruments—Credit Losses (Topic 326), Derivatives and Hedging (Topic 815) and Leases (Topic 842): Effective Dates, which defers the effective date of ASU 2016-13 to fiscal years beginning after December 15, 2022 for all entities except SEC reporting companies that are not smaller reporting companies.</w:t>
      </w:r>
    </w:p>
    <w:p>
      <w:pPr>
        <w:spacing w:after="0" w:line="118" w:lineRule="exact"/>
        <w:rPr>
          <w:sz w:val="20"/>
          <w:szCs w:val="20"/>
          <w:color w:val="auto"/>
        </w:rPr>
      </w:pPr>
    </w:p>
    <w:p>
      <w:pPr>
        <w:ind w:firstLine="309"/>
        <w:spacing w:after="0" w:line="279" w:lineRule="auto"/>
        <w:rPr>
          <w:sz w:val="20"/>
          <w:szCs w:val="20"/>
          <w:color w:val="auto"/>
        </w:rPr>
      </w:pPr>
      <w:r>
        <w:rPr>
          <w:rFonts w:ascii="Arial" w:cs="Arial" w:eastAsia="Arial" w:hAnsi="Arial"/>
          <w:sz w:val="16"/>
          <w:szCs w:val="16"/>
          <w:color w:val="auto"/>
        </w:rPr>
        <w:t>ASU 2020-4 provide optional expedients and exceptions for applying GAAP to contracts, hedging relationships, and other transactions affected by reference rate reform if certain criteria are met. These amendments apply only to contracts, hedging relationships, and other transactions that reference LIBOR or another reference rate expected to be discontinued because of reference rate reform. The expedients and exceptions provided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adoption of these ASUs did not have a material impact on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282" w:right="41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assets and liabilities measured at fair value on a recurring basis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2022</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center"/>
              <w:ind w:left="180"/>
              <w:spacing w:after="0"/>
              <w:rPr>
                <w:sz w:val="20"/>
                <w:szCs w:val="20"/>
                <w:color w:val="auto"/>
              </w:rPr>
            </w:pPr>
            <w:r>
              <w:rPr>
                <w:rFonts w:ascii="Arial" w:cs="Arial" w:eastAsia="Arial" w:hAnsi="Arial"/>
                <w:sz w:val="12"/>
                <w:szCs w:val="12"/>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3"/>
                <w:szCs w:val="13"/>
                <w:color w:val="auto"/>
              </w:rPr>
            </w:pP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Level 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3</w:t>
            </w:r>
          </w:p>
        </w:tc>
        <w:tc>
          <w:tcPr>
            <w:tcW w:w="140" w:type="dxa"/>
            <w:vAlign w:val="bottom"/>
          </w:tcPr>
          <w:p>
            <w:pPr>
              <w:spacing w:after="0"/>
              <w:rPr>
                <w:sz w:val="13"/>
                <w:szCs w:val="13"/>
                <w:color w:val="auto"/>
              </w:rPr>
            </w:pPr>
          </w:p>
        </w:tc>
        <w:tc>
          <w:tcPr>
            <w:tcW w:w="580" w:type="dxa"/>
            <w:vAlign w:val="bottom"/>
          </w:tcPr>
          <w:p>
            <w:pPr>
              <w:jc w:val="right"/>
              <w:ind w:right="18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ind w:right="120"/>
              <w:spacing w:after="0"/>
              <w:rPr>
                <w:sz w:val="20"/>
                <w:szCs w:val="20"/>
                <w:color w:val="auto"/>
              </w:rPr>
            </w:pPr>
            <w:r>
              <w:rPr>
                <w:rFonts w:ascii="Arial" w:cs="Arial" w:eastAsia="Arial" w:hAnsi="Arial"/>
                <w:sz w:val="12"/>
                <w:szCs w:val="12"/>
                <w:b w:val="1"/>
                <w:bCs w:val="1"/>
                <w:color w:val="auto"/>
                <w:w w:val="98"/>
              </w:rPr>
              <w:t>Level 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Level 2</w:t>
            </w:r>
          </w:p>
        </w:tc>
        <w:tc>
          <w:tcPr>
            <w:tcW w:w="1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Level 3</w:t>
            </w:r>
          </w:p>
        </w:tc>
        <w:tc>
          <w:tcPr>
            <w:tcW w:w="160" w:type="dxa"/>
            <w:vAlign w:val="bottom"/>
          </w:tcPr>
          <w:p>
            <w:pPr>
              <w:spacing w:after="0"/>
              <w:rPr>
                <w:sz w:val="13"/>
                <w:szCs w:val="13"/>
                <w:color w:val="auto"/>
              </w:rPr>
            </w:pPr>
          </w:p>
        </w:tc>
        <w:tc>
          <w:tcPr>
            <w:tcW w:w="560" w:type="dxa"/>
            <w:vAlign w:val="bottom"/>
          </w:tcPr>
          <w:p>
            <w:pPr>
              <w:jc w:val="right"/>
              <w:ind w:right="16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w:t>
            </w: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640" w:type="dxa"/>
            <w:vAlign w:val="bottom"/>
          </w:tcPr>
          <w:p>
            <w:pPr>
              <w:ind w:left="220"/>
              <w:spacing w:after="0"/>
              <w:rPr>
                <w:sz w:val="20"/>
                <w:szCs w:val="20"/>
                <w:color w:val="auto"/>
              </w:rPr>
            </w:pPr>
            <w:r>
              <w:rPr>
                <w:rFonts w:ascii="Arial" w:cs="Arial" w:eastAsia="Arial" w:hAnsi="Arial"/>
                <w:sz w:val="12"/>
                <w:szCs w:val="12"/>
                <w:color w:val="auto"/>
              </w:rPr>
              <w:t>Cash</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8,870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Pr>
          <w:p>
            <w:pPr>
              <w:ind w:left="360"/>
              <w:spacing w:after="0"/>
              <w:rPr>
                <w:sz w:val="20"/>
                <w:szCs w:val="20"/>
                <w:color w:val="auto"/>
              </w:rPr>
            </w:pPr>
            <w:r>
              <w:rPr>
                <w:rFonts w:ascii="Arial" w:cs="Arial" w:eastAsia="Arial" w:hAnsi="Arial"/>
                <w:sz w:val="12"/>
                <w:szCs w:val="12"/>
                <w:color w:val="auto"/>
                <w:w w:val="82"/>
              </w:rPr>
              <w:t>—</w:t>
            </w:r>
          </w:p>
        </w:tc>
        <w:tc>
          <w:tcPr>
            <w:tcW w:w="280" w:type="dxa"/>
            <w:vAlign w:val="bottom"/>
            <w:gridSpan w:val="3"/>
          </w:tcPr>
          <w:p>
            <w:pPr>
              <w:jc w:val="right"/>
              <w:ind w:right="1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8,870</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13,621</w:t>
            </w:r>
          </w:p>
        </w:tc>
        <w:tc>
          <w:tcPr>
            <w:tcW w:w="4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center"/>
              <w:ind w:left="180"/>
              <w:spacing w:after="0"/>
              <w:rPr>
                <w:sz w:val="20"/>
                <w:szCs w:val="20"/>
                <w:color w:val="auto"/>
              </w:rPr>
            </w:pPr>
            <w:r>
              <w:rPr>
                <w:rFonts w:ascii="Arial" w:cs="Arial" w:eastAsia="Arial" w:hAnsi="Arial"/>
                <w:sz w:val="12"/>
                <w:szCs w:val="12"/>
                <w:color w:val="auto"/>
                <w:w w:val="99"/>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13,621</w:t>
            </w:r>
          </w:p>
        </w:tc>
        <w:tc>
          <w:tcPr>
            <w:tcW w:w="0" w:type="dxa"/>
            <w:vAlign w:val="bottom"/>
          </w:tcPr>
          <w:p>
            <w:pPr>
              <w:spacing w:after="0"/>
              <w:rPr>
                <w:sz w:val="1"/>
                <w:szCs w:val="1"/>
                <w:color w:val="auto"/>
              </w:rPr>
            </w:pPr>
          </w:p>
        </w:tc>
      </w:tr>
      <w:tr>
        <w:trPr>
          <w:trHeight w:val="175"/>
        </w:trPr>
        <w:tc>
          <w:tcPr>
            <w:tcW w:w="46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equivalents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212,989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2"/>
                <w:szCs w:val="12"/>
                <w:color w:val="auto"/>
                <w:w w:val="82"/>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212,989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290,699</w:t>
            </w: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left="180"/>
              <w:spacing w:after="0"/>
              <w:rPr>
                <w:sz w:val="20"/>
                <w:szCs w:val="20"/>
                <w:color w:val="auto"/>
              </w:rPr>
            </w:pPr>
            <w:r>
              <w:rPr>
                <w:rFonts w:ascii="Arial" w:cs="Arial" w:eastAsia="Arial" w:hAnsi="Arial"/>
                <w:sz w:val="12"/>
                <w:szCs w:val="12"/>
                <w:color w:val="auto"/>
                <w:w w:val="99"/>
              </w:rPr>
              <w:t>—</w:t>
            </w:r>
          </w:p>
        </w:tc>
        <w:tc>
          <w:tcPr>
            <w:tcW w:w="1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290,699</w:t>
            </w:r>
          </w:p>
        </w:tc>
        <w:tc>
          <w:tcPr>
            <w:tcW w:w="0" w:type="dxa"/>
            <w:vAlign w:val="bottom"/>
          </w:tcPr>
          <w:p>
            <w:pPr>
              <w:spacing w:after="0"/>
              <w:rPr>
                <w:sz w:val="1"/>
                <w:szCs w:val="1"/>
                <w:color w:val="auto"/>
              </w:rPr>
            </w:pPr>
          </w:p>
        </w:tc>
      </w:tr>
      <w:tr>
        <w:trPr>
          <w:trHeight w:val="160"/>
        </w:trPr>
        <w:tc>
          <w:tcPr>
            <w:tcW w:w="4640" w:type="dxa"/>
            <w:vAlign w:val="bottom"/>
          </w:tcPr>
          <w:p>
            <w:pPr>
              <w:ind w:left="220"/>
              <w:spacing w:after="0"/>
              <w:rPr>
                <w:sz w:val="20"/>
                <w:szCs w:val="20"/>
                <w:color w:val="auto"/>
              </w:rPr>
            </w:pPr>
            <w:r>
              <w:rPr>
                <w:rFonts w:ascii="Arial" w:cs="Arial" w:eastAsia="Arial" w:hAnsi="Arial"/>
                <w:sz w:val="12"/>
                <w:szCs w:val="12"/>
                <w:color w:val="auto"/>
              </w:rPr>
              <w:t>Total cash and cash equivalents</w:t>
            </w: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221,859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2"/>
                <w:szCs w:val="12"/>
                <w:color w:val="auto"/>
                <w:w w:val="82"/>
              </w:rPr>
              <w:t>—</w:t>
            </w: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221,859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304,320</w:t>
            </w:r>
          </w:p>
        </w:tc>
        <w:tc>
          <w:tcPr>
            <w:tcW w:w="460" w:type="dxa"/>
            <w:vAlign w:val="bottom"/>
          </w:tcPr>
          <w:p>
            <w:pPr>
              <w:jc w:val="right"/>
              <w:spacing w:after="0"/>
              <w:rPr>
                <w:sz w:val="20"/>
                <w:szCs w:val="20"/>
                <w:color w:val="auto"/>
              </w:rPr>
            </w:pPr>
            <w:r>
              <w:rPr>
                <w:rFonts w:ascii="Arial" w:cs="Arial" w:eastAsia="Arial" w:hAnsi="Arial"/>
                <w:sz w:val="12"/>
                <w:szCs w:val="12"/>
                <w:color w:val="auto"/>
                <w:w w:val="92"/>
              </w:rPr>
              <w:t>304,320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center"/>
              <w:ind w:left="260"/>
              <w:spacing w:after="0"/>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304,320</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6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color w:val="auto"/>
              </w:rPr>
              <w:t>Loan facility derivative liability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640" w:type="dxa"/>
            <w:vAlign w:val="bottom"/>
            <w:vMerge w:val="continue"/>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2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480" w:type="dxa"/>
            <w:vAlign w:val="bottom"/>
          </w:tcPr>
          <w:p>
            <w:pPr>
              <w:ind w:left="360"/>
              <w:spacing w:after="0" w:line="125" w:lineRule="exact"/>
              <w:rPr>
                <w:sz w:val="20"/>
                <w:szCs w:val="20"/>
                <w:color w:val="auto"/>
              </w:rPr>
            </w:pPr>
            <w:r>
              <w:rPr>
                <w:rFonts w:ascii="Arial" w:cs="Arial" w:eastAsia="Arial" w:hAnsi="Arial"/>
                <w:sz w:val="12"/>
                <w:szCs w:val="12"/>
                <w:color w:val="auto"/>
                <w:w w:val="82"/>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rPr>
              <w:t>1,779</w:t>
            </w:r>
          </w:p>
        </w:tc>
        <w:tc>
          <w:tcPr>
            <w:tcW w:w="100" w:type="dxa"/>
            <w:vAlign w:val="bottom"/>
          </w:tcPr>
          <w:p>
            <w:pPr>
              <w:spacing w:after="0"/>
              <w:rPr>
                <w:sz w:val="10"/>
                <w:szCs w:val="10"/>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25" w:lineRule="exact"/>
              <w:rPr>
                <w:sz w:val="20"/>
                <w:szCs w:val="20"/>
                <w:color w:val="auto"/>
              </w:rPr>
            </w:pPr>
            <w:r>
              <w:rPr>
                <w:rFonts w:ascii="Arial" w:cs="Arial" w:eastAsia="Arial" w:hAnsi="Arial"/>
                <w:sz w:val="12"/>
                <w:szCs w:val="12"/>
                <w:color w:val="auto"/>
              </w:rPr>
              <w:t>1,779</w:t>
            </w:r>
          </w:p>
        </w:tc>
        <w:tc>
          <w:tcPr>
            <w:tcW w:w="80" w:type="dxa"/>
            <w:vAlign w:val="bottom"/>
          </w:tcPr>
          <w:p>
            <w:pPr>
              <w:spacing w:after="0"/>
              <w:rPr>
                <w:sz w:val="10"/>
                <w:szCs w:val="10"/>
                <w:color w:val="auto"/>
              </w:rPr>
            </w:pPr>
          </w:p>
        </w:tc>
        <w:tc>
          <w:tcPr>
            <w:tcW w:w="12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460" w:type="dxa"/>
            <w:vAlign w:val="bottom"/>
          </w:tcPr>
          <w:p>
            <w:pPr>
              <w:spacing w:after="0"/>
              <w:rPr>
                <w:sz w:val="10"/>
                <w:szCs w:val="10"/>
                <w:color w:val="auto"/>
              </w:rPr>
            </w:pPr>
          </w:p>
        </w:tc>
        <w:tc>
          <w:tcPr>
            <w:tcW w:w="10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560" w:type="dxa"/>
            <w:vAlign w:val="bottom"/>
          </w:tcPr>
          <w:p>
            <w:pPr>
              <w:jc w:val="center"/>
              <w:ind w:left="260"/>
              <w:spacing w:after="0" w:line="125" w:lineRule="exact"/>
              <w:rPr>
                <w:sz w:val="20"/>
                <w:szCs w:val="20"/>
                <w:color w:val="auto"/>
              </w:rPr>
            </w:pPr>
            <w:r>
              <w:rPr>
                <w:rFonts w:ascii="Arial" w:cs="Arial" w:eastAsia="Arial" w:hAnsi="Arial"/>
                <w:sz w:val="12"/>
                <w:szCs w:val="12"/>
                <w:color w:val="auto"/>
                <w:w w:val="99"/>
              </w:rPr>
              <w:t>—</w:t>
            </w:r>
          </w:p>
        </w:tc>
        <w:tc>
          <w:tcPr>
            <w:tcW w:w="80" w:type="dxa"/>
            <w:vAlign w:val="bottom"/>
          </w:tcPr>
          <w:p>
            <w:pPr>
              <w:spacing w:after="0"/>
              <w:rPr>
                <w:sz w:val="10"/>
                <w:szCs w:val="10"/>
                <w:color w:val="auto"/>
              </w:rPr>
            </w:pPr>
          </w:p>
        </w:tc>
        <w:tc>
          <w:tcPr>
            <w:tcW w:w="120" w:type="dxa"/>
            <w:vAlign w:val="bottom"/>
          </w:tcPr>
          <w:p>
            <w:pPr>
              <w:jc w:val="right"/>
              <w:spacing w:after="0" w:line="125" w:lineRule="exact"/>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line="125" w:lineRule="exact"/>
              <w:rPr>
                <w:sz w:val="20"/>
                <w:szCs w:val="20"/>
                <w:color w:val="auto"/>
              </w:rPr>
            </w:pPr>
            <w:r>
              <w:rPr>
                <w:rFonts w:ascii="Arial" w:cs="Arial" w:eastAsia="Arial" w:hAnsi="Arial"/>
                <w:sz w:val="12"/>
                <w:szCs w:val="12"/>
                <w:color w:val="auto"/>
              </w:rPr>
              <w:t>1,496</w:t>
            </w:r>
          </w:p>
        </w:tc>
        <w:tc>
          <w:tcPr>
            <w:tcW w:w="80" w:type="dxa"/>
            <w:vAlign w:val="bottom"/>
          </w:tcPr>
          <w:p>
            <w:pPr>
              <w:spacing w:after="0"/>
              <w:rPr>
                <w:sz w:val="10"/>
                <w:szCs w:val="10"/>
                <w:color w:val="auto"/>
              </w:rPr>
            </w:pPr>
          </w:p>
        </w:tc>
        <w:tc>
          <w:tcPr>
            <w:tcW w:w="160" w:type="dxa"/>
            <w:vAlign w:val="bottom"/>
          </w:tcPr>
          <w:p>
            <w:pPr>
              <w:jc w:val="right"/>
              <w:ind w:right="20"/>
              <w:spacing w:after="0" w:line="125" w:lineRule="exact"/>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line="125" w:lineRule="exact"/>
              <w:rPr>
                <w:sz w:val="20"/>
                <w:szCs w:val="20"/>
                <w:color w:val="auto"/>
              </w:rPr>
            </w:pPr>
            <w:r>
              <w:rPr>
                <w:rFonts w:ascii="Arial" w:cs="Arial" w:eastAsia="Arial" w:hAnsi="Arial"/>
                <w:sz w:val="12"/>
                <w:szCs w:val="12"/>
                <w:color w:val="auto"/>
              </w:rPr>
              <w:t>1,496</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160" w:firstLine="309"/>
        <w:spacing w:after="0" w:line="279" w:lineRule="auto"/>
        <w:rPr>
          <w:sz w:val="20"/>
          <w:szCs w:val="20"/>
          <w:color w:val="auto"/>
        </w:rPr>
      </w:pPr>
      <w:r>
        <w:rPr>
          <w:rFonts w:ascii="Arial" w:cs="Arial" w:eastAsia="Arial" w:hAnsi="Arial"/>
          <w:sz w:val="17"/>
          <w:szCs w:val="17"/>
          <w:color w:val="auto"/>
        </w:rPr>
        <w:t>The carrying amounts of the Company’s cash and cash equivalents, accounts receivable and accounts payable approximate their fair values due to their short maturities. The Company’s long-term debt is recorded at its net carrying value, which approximates fair value.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transfers in and out of Level 3 during the years ended December 31, 2022 and 2021.</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Loan facility derivative liability</w:t>
      </w:r>
    </w:p>
    <w:p>
      <w:pPr>
        <w:spacing w:after="0" w:line="165" w:lineRule="exact"/>
        <w:rPr>
          <w:sz w:val="20"/>
          <w:szCs w:val="20"/>
          <w:color w:val="auto"/>
        </w:rPr>
      </w:pPr>
    </w:p>
    <w:p>
      <w:pPr>
        <w:ind w:right="80" w:firstLine="309"/>
        <w:spacing w:after="0" w:line="279" w:lineRule="auto"/>
        <w:rPr>
          <w:sz w:val="20"/>
          <w:szCs w:val="20"/>
          <w:color w:val="auto"/>
        </w:rPr>
      </w:pPr>
      <w:r>
        <w:rPr>
          <w:rFonts w:ascii="Arial" w:cs="Arial" w:eastAsia="Arial" w:hAnsi="Arial"/>
          <w:sz w:val="17"/>
          <w:szCs w:val="17"/>
          <w:color w:val="auto"/>
        </w:rPr>
        <w:t>The following table sets forth a summary of the changes in the estimated fair value of the Company’s loan facility derivative liability, classified as Level 3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89"/>
              </w:rPr>
              <w:t>Year Ended December 31,</w:t>
            </w:r>
          </w:p>
        </w:tc>
      </w:tr>
      <w:tr>
        <w:trPr>
          <w:trHeight w:val="24"/>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79"/>
        </w:trPr>
        <w:tc>
          <w:tcPr>
            <w:tcW w:w="5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w:t>
            </w:r>
          </w:p>
        </w:tc>
      </w:tr>
      <w:tr>
        <w:trPr>
          <w:trHeight w:val="218"/>
        </w:trPr>
        <w:tc>
          <w:tcPr>
            <w:tcW w:w="5100" w:type="dxa"/>
            <w:vAlign w:val="bottom"/>
          </w:tcPr>
          <w:p>
            <w:pPr>
              <w:ind w:left="180"/>
              <w:spacing w:after="0"/>
              <w:rPr>
                <w:sz w:val="20"/>
                <w:szCs w:val="20"/>
                <w:color w:val="auto"/>
              </w:rPr>
            </w:pPr>
            <w:r>
              <w:rPr>
                <w:rFonts w:ascii="Arial" w:cs="Arial" w:eastAsia="Arial" w:hAnsi="Arial"/>
                <w:sz w:val="17"/>
                <w:szCs w:val="17"/>
                <w:color w:val="auto"/>
              </w:rPr>
              <w:t>Issued</w:t>
            </w:r>
          </w:p>
        </w:tc>
        <w:tc>
          <w:tcPr>
            <w:tcW w:w="1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Payment of success fee</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8"/>
        </w:trPr>
        <w:tc>
          <w:tcPr>
            <w:tcW w:w="510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Change in fair value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r>
      <w:tr>
        <w:trPr>
          <w:trHeight w:val="23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the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1,496</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of the loan facility derivative liability was determined using a discounted cash flow calculation discounted at 6%.</w:t>
      </w:r>
    </w:p>
    <w:p>
      <w:pPr>
        <w:spacing w:after="0" w:line="200" w:lineRule="exact"/>
        <w:rPr>
          <w:sz w:val="20"/>
          <w:szCs w:val="20"/>
          <w:color w:val="auto"/>
        </w:rPr>
      </w:pPr>
    </w:p>
    <w:p>
      <w:pPr>
        <w:spacing w:after="0" w:line="34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Composition of Certain Consolidated Financial Statement Items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920" w:type="dxa"/>
            <w:vAlign w:val="bottom"/>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12,417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6,740</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Work-in-process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14,388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5,502</w:t>
            </w:r>
          </w:p>
        </w:tc>
      </w:tr>
      <w:tr>
        <w:trPr>
          <w:trHeight w:val="213"/>
        </w:trPr>
        <w:tc>
          <w:tcPr>
            <w:tcW w:w="8180" w:type="dxa"/>
            <w:vAlign w:val="bottom"/>
          </w:tcPr>
          <w:p>
            <w:pPr>
              <w:ind w:left="220"/>
              <w:spacing w:after="0"/>
              <w:rPr>
                <w:sz w:val="20"/>
                <w:szCs w:val="20"/>
                <w:color w:val="auto"/>
              </w:rPr>
            </w:pPr>
            <w:r>
              <w:rPr>
                <w:rFonts w:ascii="Arial" w:cs="Arial" w:eastAsia="Arial" w:hAnsi="Arial"/>
                <w:sz w:val="17"/>
                <w:szCs w:val="17"/>
                <w:color w:val="auto"/>
              </w:rPr>
              <w:t>Total inventory</w:t>
            </w:r>
          </w:p>
        </w:tc>
        <w:tc>
          <w:tcPr>
            <w:tcW w:w="920" w:type="dxa"/>
            <w:vAlign w:val="bottom"/>
            <w:tcBorders>
              <w:bottom w:val="single" w:sz="8" w:color="auto"/>
            </w:tcBorders>
          </w:tcPr>
          <w:p>
            <w:pPr>
              <w:jc w:val="right"/>
              <w:ind w:right="7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28,543</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13,147</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 (in thousands):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Laboratory, manufacturing and computer equipment, and furniture and fixtures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Rental equipment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1,313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1,082</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4,941</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Evaluation units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2,842</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Construction in progress</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5,671</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8180" w:type="dxa"/>
            <w:vAlign w:val="bottom"/>
          </w:tcPr>
          <w:p>
            <w:pPr>
              <w:ind w:left="220"/>
              <w:spacing w:after="0"/>
              <w:rPr>
                <w:sz w:val="20"/>
                <w:szCs w:val="20"/>
                <w:color w:val="auto"/>
              </w:rPr>
            </w:pPr>
            <w:r>
              <w:rPr>
                <w:rFonts w:ascii="Arial" w:cs="Arial" w:eastAsia="Arial" w:hAnsi="Arial"/>
                <w:sz w:val="17"/>
                <w:szCs w:val="17"/>
                <w:color w:val="auto"/>
              </w:rPr>
              <w:t>Total property and equipment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17,660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11,739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(9,004)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(6,694)</w:t>
            </w:r>
          </w:p>
        </w:tc>
        <w:tc>
          <w:tcPr>
            <w:tcW w:w="0" w:type="dxa"/>
            <w:vAlign w:val="bottom"/>
          </w:tcPr>
          <w:p>
            <w:pPr>
              <w:spacing w:after="0"/>
              <w:rPr>
                <w:sz w:val="1"/>
                <w:szCs w:val="1"/>
                <w:color w:val="auto"/>
              </w:rPr>
            </w:pPr>
          </w:p>
        </w:tc>
      </w:tr>
      <w:tr>
        <w:trPr>
          <w:trHeight w:val="213"/>
        </w:trPr>
        <w:tc>
          <w:tcPr>
            <w:tcW w:w="8180" w:type="dxa"/>
            <w:vAlign w:val="bottom"/>
          </w:tcPr>
          <w:p>
            <w:pPr>
              <w:ind w:left="320"/>
              <w:spacing w:after="0"/>
              <w:rPr>
                <w:sz w:val="20"/>
                <w:szCs w:val="20"/>
                <w:color w:val="auto"/>
              </w:rPr>
            </w:pPr>
            <w:r>
              <w:rPr>
                <w:rFonts w:ascii="Arial" w:cs="Arial" w:eastAsia="Arial" w:hAnsi="Arial"/>
                <w:sz w:val="17"/>
                <w:szCs w:val="17"/>
                <w:color w:val="auto"/>
              </w:rPr>
              <w:t>Total property and equipment, net</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8,656</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5,045</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Other Current Liabilities (in thousands):</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81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purchases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Professional services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1,739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tax</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Interest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405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Travel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Asset retirement obligation</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Clinical trial expenses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Customer deposit</w:t>
            </w:r>
          </w:p>
        </w:tc>
        <w:tc>
          <w:tcPr>
            <w:tcW w:w="9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w:t>
            </w:r>
          </w:p>
        </w:tc>
        <w:tc>
          <w:tcPr>
            <w:tcW w:w="0" w:type="dxa"/>
            <w:vAlign w:val="bottom"/>
          </w:tcPr>
          <w:p>
            <w:pPr>
              <w:spacing w:after="0"/>
              <w:rPr>
                <w:sz w:val="1"/>
                <w:szCs w:val="1"/>
                <w:color w:val="auto"/>
              </w:rPr>
            </w:pPr>
          </w:p>
        </w:tc>
      </w:tr>
      <w:tr>
        <w:trPr>
          <w:trHeight w:val="213"/>
        </w:trPr>
        <w:tc>
          <w:tcPr>
            <w:tcW w:w="8180" w:type="dxa"/>
            <w:vAlign w:val="bottom"/>
          </w:tcPr>
          <w:p>
            <w:pPr>
              <w:ind w:left="320"/>
              <w:spacing w:after="0"/>
              <w:rPr>
                <w:sz w:val="20"/>
                <w:szCs w:val="20"/>
                <w:color w:val="auto"/>
              </w:rPr>
            </w:pPr>
            <w:r>
              <w:rPr>
                <w:rFonts w:ascii="Arial" w:cs="Arial" w:eastAsia="Arial" w:hAnsi="Arial"/>
                <w:sz w:val="17"/>
                <w:szCs w:val="17"/>
                <w:color w:val="auto"/>
              </w:rPr>
              <w:t>Total other current liabilities</w:t>
            </w:r>
          </w:p>
        </w:tc>
        <w:tc>
          <w:tcPr>
            <w:tcW w:w="920" w:type="dxa"/>
            <w:vAlign w:val="bottom"/>
            <w:tcBorders>
              <w:bottom w:val="single" w:sz="8" w:color="auto"/>
            </w:tcBorders>
          </w:tcPr>
          <w:p>
            <w:pPr>
              <w:jc w:val="right"/>
              <w:ind w:right="721"/>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7,468</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other non-current liabilities consisted of an asset retirement obligation for the facility lease.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and Other Income (Expense), net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6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Decrease in fair value of preferred stock warrants</w:t>
            </w:r>
          </w:p>
        </w:tc>
        <w:tc>
          <w:tcPr>
            <w:tcW w:w="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Decrease (increase) in fair value of loan facility derivative liability</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9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w:t>
            </w:r>
          </w:p>
        </w:tc>
      </w:tr>
      <w:tr>
        <w:trPr>
          <w:trHeight w:val="238"/>
        </w:trPr>
        <w:tc>
          <w:tcPr>
            <w:tcW w:w="8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interest and other income, net</w:t>
            </w:r>
          </w:p>
        </w:tc>
        <w:tc>
          <w:tcPr>
            <w:tcW w:w="96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2,011</w:t>
            </w:r>
          </w:p>
        </w:tc>
        <w:tc>
          <w:tcPr>
            <w:tcW w:w="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7"/>
                <w:szCs w:val="17"/>
                <w:color w:val="auto"/>
                <w:w w:val="8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Intangible Assets</w:t>
      </w:r>
    </w:p>
    <w:p>
      <w:pPr>
        <w:spacing w:after="0" w:line="171" w:lineRule="exact"/>
        <w:rPr>
          <w:sz w:val="20"/>
          <w:szCs w:val="20"/>
          <w:color w:val="auto"/>
        </w:rPr>
      </w:pPr>
    </w:p>
    <w:p>
      <w:pPr>
        <w:ind w:right="40" w:firstLine="309"/>
        <w:spacing w:after="0" w:line="273" w:lineRule="auto"/>
        <w:rPr>
          <w:sz w:val="20"/>
          <w:szCs w:val="20"/>
          <w:color w:val="auto"/>
        </w:rPr>
      </w:pPr>
      <w:r>
        <w:rPr>
          <w:rFonts w:ascii="Arial" w:cs="Arial" w:eastAsia="Arial" w:hAnsi="Arial"/>
          <w:sz w:val="16"/>
          <w:szCs w:val="16"/>
          <w:color w:val="auto"/>
        </w:rPr>
        <w:t>In March 2019, the Company entered into a license agreement with HydroCision, Inc. This agreement grants the Company an exclusive, perpetual, irrevocable, worldwide, fully paid-up license to develop, manufacture and commercialize products in the field of urology using the patented technology and know-how controlled by HydroCision as of the effective date and as well as new patented technology developed by HydroCision that cover certain activities and improvements that relate to the use of fluid jet technology in connection with the licensed products during the period commencing on the effective date and ending on the earlier of the date that the Company ceases to use HydroCision’s existing contract manufacturers and the third anniversary of the effective date. Also included is the right to utilize HydroCision’s contract manufacturers, if desired. The consideration paid was a one-time upfront payment of $2.5 million, as well as allowing HydroCision (a reciprocal license) to use any new patented technology and know-how developed by the Company relating to the HydroCision patented technology and know-how in the field of urology for HydroCision use outside the field of urology. HydroCision will pay for any patent maintenance fees on HydroCision’s licensed patents. As of December 31, 2022 and 2021, accumulated amortization was $1.0 million, respectively, and the net carrying amount is expected to be amortized at a rate of $0.3 million per year until fully amortized.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for intangible assets for both the years ended December 31, 2022 and 2021, was $0.3 million.</w:t>
      </w:r>
    </w:p>
    <w:p>
      <w:pPr>
        <w:spacing w:after="0" w:line="159"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6"/>
          <w:szCs w:val="16"/>
          <w:b w:val="1"/>
          <w:bCs w:val="1"/>
          <w:color w:val="auto"/>
        </w:rPr>
        <w:t>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Oxford</w:t>
      </w:r>
    </w:p>
    <w:p>
      <w:pPr>
        <w:spacing w:after="0" w:line="165" w:lineRule="exact"/>
        <w:rPr>
          <w:sz w:val="20"/>
          <w:szCs w:val="20"/>
          <w:color w:val="auto"/>
        </w:rPr>
      </w:pPr>
    </w:p>
    <w:p>
      <w:pPr>
        <w:ind w:firstLine="309"/>
        <w:spacing w:after="0" w:line="272" w:lineRule="auto"/>
        <w:rPr>
          <w:sz w:val="20"/>
          <w:szCs w:val="20"/>
          <w:color w:val="auto"/>
        </w:rPr>
      </w:pPr>
      <w:r>
        <w:rPr>
          <w:rFonts w:ascii="Arial" w:cs="Arial" w:eastAsia="Arial" w:hAnsi="Arial"/>
          <w:sz w:val="16"/>
          <w:szCs w:val="16"/>
          <w:color w:val="auto"/>
        </w:rPr>
        <w:t>In September 2019, the Company entered into a loan facility with Oxford for up to $75 million available in four installments. The Company borrowed $25 million in September 2019. An additional $25 million was borrowed in March 2020. The third installment of $10 million was originally available for draw through March 31, 2021 contingent upon achieving $20 million in trailing six months revenue. In January 2021, the third installment was amended to be available for draw through June 30, 2021 contingent upon achieving $6.4 million trailing six months revenue. The remaining $15 million was originally available for draw through June 30, 2021 and is contingent upon achieving $25 million in trailing six months revenue. In January 2021, this installment was amended to be available for draw through June 30, 2022. The facility bears an interest rate of 9.37%, which is 7.17% plus the greater of 2.2% or 30-day LIBOR. The initial term of the facility was 60 months with interest-only payments each month for 24 months followed by 36 months amortization of principal and interest. In January 2021, the interest-only period was amended to 36 months followed by 24 months amortization (principal and interest) beginning October 1, 2022 since the amended trailing six months target revenue of $6.4 million was achieved, and accordingly, the current portion of the amount due was reclassified to non-current. Upon drawing the final $15 million tranche, interest-only period is extended 12 months followed by 24 months amortization of principal and interest. Upon the completion of the Company raising over $50 million in its IPO in September 2021, interest-only payments were extended an additional 12 months followed by 12 months amortization of principal and interest. Substantially all assets of the Company are pledged as collateral. Commencing with the earlier of June 30, 2021 and the month following the funding of either the third or final installment, the Company was required to achieve revenues for the previous six months ended equal to the greater of (1) 70% of the forecast for the commensurate period, (2) $15 million if neither third or final installments have been drawn, (3) $20 million if the third but not final installment has been drawn and (4) $25 million if both the third and final installments have been drawn.</w:t>
      </w:r>
    </w:p>
    <w:p>
      <w:pPr>
        <w:spacing w:after="0" w:line="121" w:lineRule="exact"/>
        <w:rPr>
          <w:sz w:val="20"/>
          <w:szCs w:val="20"/>
          <w:color w:val="auto"/>
        </w:rPr>
      </w:pPr>
    </w:p>
    <w:p>
      <w:pPr>
        <w:ind w:right="120" w:firstLine="309"/>
        <w:spacing w:after="0" w:line="273" w:lineRule="auto"/>
        <w:rPr>
          <w:sz w:val="20"/>
          <w:szCs w:val="20"/>
          <w:color w:val="auto"/>
        </w:rPr>
      </w:pPr>
      <w:r>
        <w:rPr>
          <w:rFonts w:ascii="Arial" w:cs="Arial" w:eastAsia="Arial" w:hAnsi="Arial"/>
          <w:sz w:val="16"/>
          <w:szCs w:val="16"/>
          <w:color w:val="auto"/>
        </w:rPr>
        <w:t>The loan facility included certain fees payable to the lender recorded as a loan discount that was accrued and amortized to interest expense during the loan term. A 6% final payment fee of each funded tranche was payable at the earlier of prepayment or loan maturity and a 0.25% facility fee paid at each funded tranche. A prepayment fee was originally payable if the loan is paid before maturity in the amount of 3% of loans outstanding if paid in full during first the 12 months, 2% if loan is paid in full during the second 12 months, or 1% if loan is paid in full thereafter before maturity. In January 2021, the prepayment fee was removed as part of the amendments. In addition, the Company was required to pay the lender’s loan initiation fees and a fee upon the earlier occurrence of a defined liquidity event, including but not limited to, a merger or sale of the Company’s assets or voting stock, or achieving a $200.0 million trailing 12 months revenue target, in each case, by September 2029. The success fees were to be calculated at the time of the liquidity event occurrence to be $1.0 million if only the first installment has been drawn, $2.0 million if the first two installments have been drawn, $2.4 million if the first three installments have been drawn, or $3.0 million if all four installments have been drawn, in each case, upon the occurrence of the defined liquidity event. The Company determined that this obligation to pay success fees represents freestanding financial instruments.</w:t>
      </w:r>
    </w:p>
    <w:p>
      <w:pPr>
        <w:spacing w:after="0" w:line="125" w:lineRule="exact"/>
        <w:rPr>
          <w:sz w:val="20"/>
          <w:szCs w:val="20"/>
          <w:color w:val="auto"/>
        </w:rPr>
      </w:pPr>
    </w:p>
    <w:p>
      <w:pPr>
        <w:ind w:right="320" w:firstLine="309"/>
        <w:spacing w:after="0" w:line="266" w:lineRule="auto"/>
        <w:rPr>
          <w:sz w:val="20"/>
          <w:szCs w:val="20"/>
          <w:color w:val="auto"/>
        </w:rPr>
      </w:pPr>
      <w:r>
        <w:rPr>
          <w:rFonts w:ascii="Arial" w:cs="Arial" w:eastAsia="Arial" w:hAnsi="Arial"/>
          <w:sz w:val="17"/>
          <w:szCs w:val="17"/>
          <w:color w:val="auto"/>
        </w:rPr>
        <w:t>The amendments in January 2021 were accounted for as a debt modification under ASC 470-50-40 as the changes in the debt terms are not considered substantial, and thus no gain or loss was recorded and a new effective interest rate was established based on the carrying value of the loan and the revised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Canadian Imperial Bank of Commerce</w:t>
      </w:r>
    </w:p>
    <w:p>
      <w:pPr>
        <w:spacing w:after="0" w:line="165" w:lineRule="exact"/>
        <w:rPr>
          <w:sz w:val="20"/>
          <w:szCs w:val="20"/>
          <w:color w:val="auto"/>
        </w:rPr>
      </w:pPr>
    </w:p>
    <w:p>
      <w:pPr>
        <w:jc w:val="both"/>
        <w:ind w:right="200" w:firstLine="309"/>
        <w:spacing w:after="0" w:line="266" w:lineRule="auto"/>
        <w:rPr>
          <w:sz w:val="20"/>
          <w:szCs w:val="20"/>
          <w:color w:val="auto"/>
        </w:rPr>
      </w:pPr>
      <w:r>
        <w:rPr>
          <w:rFonts w:ascii="Arial" w:cs="Arial" w:eastAsia="Arial" w:hAnsi="Arial"/>
          <w:sz w:val="17"/>
          <w:szCs w:val="17"/>
          <w:color w:val="auto"/>
        </w:rPr>
        <w:t>In October 2022, the Company entered into a loan and security agreement (“The Agreement”) with a new lender, Canadian Imperial Bank of Commerce, or CIBC. The Agreement provides for a senior secured term loan facility in the aggregate principal amount of $52.0 million (the "Term Loan Facility") which was borrowed in full.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Term Loan Facility was used to repay and terminate the Company's previous loan facility, transaction fees, and related expenses.</w:t>
      </w:r>
    </w:p>
    <w:p>
      <w:pPr>
        <w:spacing w:after="0" w:line="165" w:lineRule="exact"/>
        <w:rPr>
          <w:sz w:val="20"/>
          <w:szCs w:val="20"/>
          <w:color w:val="auto"/>
        </w:rPr>
      </w:pPr>
    </w:p>
    <w:p>
      <w:pPr>
        <w:ind w:right="100" w:firstLine="309"/>
        <w:spacing w:after="0" w:line="259" w:lineRule="auto"/>
        <w:rPr>
          <w:sz w:val="20"/>
          <w:szCs w:val="20"/>
          <w:color w:val="auto"/>
        </w:rPr>
      </w:pPr>
      <w:r>
        <w:rPr>
          <w:rFonts w:ascii="Arial" w:cs="Arial" w:eastAsia="Arial" w:hAnsi="Arial"/>
          <w:sz w:val="17"/>
          <w:szCs w:val="17"/>
          <w:color w:val="auto"/>
        </w:rPr>
        <w:t>The Term Loan Facility is scheduled to mature on the fifth anniversary of the Closing Date (the "Maturity Date"). The Agreement provides for interest-only payments on the Term Loan Facility for the first thirty-six months following the Closing Date (the "Initial Interest-Only Period"). The Initial Interest-Only Period will be extended to an additional twelve months if the Company achieves either (i) $200.0 million or greater in revenue in any twelve-month period or (ii) $0 or greater in EBITDA in any six-month period. Thereafter, amortization payments on the Term Loan Facility will be payable monthly until the Maturity Date in monthly installments equal to 20% of the then outstanding principal amount of the Term</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282" w:right="35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Loan Facility divided by 12 plus any accrued and unpaid interest. The Company has the option to prepay the Term Loan Facility without any prepayment charge or fee.</w:t>
      </w:r>
    </w:p>
    <w:p>
      <w:pPr>
        <w:spacing w:after="0" w:line="113" w:lineRule="exact"/>
        <w:rPr>
          <w:sz w:val="20"/>
          <w:szCs w:val="20"/>
          <w:color w:val="auto"/>
        </w:rPr>
      </w:pPr>
    </w:p>
    <w:p>
      <w:pPr>
        <w:jc w:val="both"/>
        <w:ind w:right="160" w:firstLine="309"/>
        <w:spacing w:after="0" w:line="266" w:lineRule="auto"/>
        <w:rPr>
          <w:sz w:val="20"/>
          <w:szCs w:val="20"/>
          <w:color w:val="auto"/>
        </w:rPr>
      </w:pPr>
      <w:r>
        <w:rPr>
          <w:rFonts w:ascii="Arial" w:cs="Arial" w:eastAsia="Arial" w:hAnsi="Arial"/>
          <w:sz w:val="17"/>
          <w:szCs w:val="17"/>
          <w:color w:val="auto"/>
        </w:rPr>
        <w:t>The loan borrowed under the Term Loan Facility bears interest at an annual rate equal to the secured overnight financing rate ("SOFR") (calculated based on an adjustment of .10%, .15% and .25%, respectively, for one-month, three-month or six-month term SOFR as of a specified date, subject to a floor of 1.5%) plus an applicable margin of 2.25%.</w:t>
      </w:r>
    </w:p>
    <w:p>
      <w:pPr>
        <w:spacing w:after="0" w:line="124" w:lineRule="exact"/>
        <w:rPr>
          <w:sz w:val="20"/>
          <w:szCs w:val="20"/>
          <w:color w:val="auto"/>
        </w:rPr>
      </w:pPr>
    </w:p>
    <w:p>
      <w:pPr>
        <w:ind w:right="220" w:firstLine="309"/>
        <w:spacing w:after="0" w:line="318" w:lineRule="auto"/>
        <w:rPr>
          <w:sz w:val="20"/>
          <w:szCs w:val="20"/>
          <w:color w:val="auto"/>
        </w:rPr>
      </w:pPr>
      <w:r>
        <w:rPr>
          <w:rFonts w:ascii="Arial" w:cs="Arial" w:eastAsia="Arial" w:hAnsi="Arial"/>
          <w:sz w:val="15"/>
          <w:szCs w:val="15"/>
          <w:color w:val="auto"/>
        </w:rPr>
        <w:t>The obligations under the Loan Agreement are secured by substantially all of the Company's assets, including its intellectual property and by a pledge all of the Company's equity interests in its U.S. subsidiaries and 65% of the Company's equity interests in its non-U.S. subsidiaries that are directly owned by the Company. The Company is obligated to maintain in deposit accounts held at the lender the lesser of (i) $150.0 million or (ii) all of its non-operating cash.</w:t>
      </w:r>
    </w:p>
    <w:p>
      <w:pPr>
        <w:spacing w:after="0" w:line="88" w:lineRule="exact"/>
        <w:rPr>
          <w:sz w:val="20"/>
          <w:szCs w:val="20"/>
          <w:color w:val="auto"/>
        </w:rPr>
      </w:pPr>
    </w:p>
    <w:p>
      <w:pPr>
        <w:ind w:right="300" w:firstLine="309"/>
        <w:spacing w:after="0" w:line="312" w:lineRule="auto"/>
        <w:rPr>
          <w:sz w:val="20"/>
          <w:szCs w:val="20"/>
          <w:color w:val="auto"/>
        </w:rPr>
      </w:pPr>
      <w:r>
        <w:rPr>
          <w:rFonts w:ascii="Arial" w:cs="Arial" w:eastAsia="Arial" w:hAnsi="Arial"/>
          <w:sz w:val="16"/>
          <w:szCs w:val="16"/>
          <w:color w:val="auto"/>
        </w:rPr>
        <w:t>The Company recorded a loss on loan extinguishment in the amount of $3.3 million in its consolidated statements of operations and comprehensive loss at December 31, 2022. The loss was attributed to the acquisition price of the CIBC debt exceeded the carrying amount of the Oxford debt.</w:t>
      </w:r>
    </w:p>
    <w:p>
      <w:pPr>
        <w:spacing w:after="0" w:line="8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7.</w:t>
      </w:r>
      <w:r>
        <w:rPr>
          <w:sz w:val="20"/>
          <w:szCs w:val="20"/>
          <w:color w:val="auto"/>
        </w:rPr>
        <w:tab/>
      </w:r>
      <w:r>
        <w:rPr>
          <w:rFonts w:ascii="Arial" w:cs="Arial" w:eastAsia="Arial" w:hAnsi="Arial"/>
          <w:sz w:val="15"/>
          <w:szCs w:val="15"/>
          <w:b w:val="1"/>
          <w:bCs w:val="1"/>
          <w:color w:val="auto"/>
        </w:rPr>
        <w:t>Stock-Based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Equity Incentive Award Plan</w:t>
      </w:r>
    </w:p>
    <w:p>
      <w:pPr>
        <w:spacing w:after="0" w:line="165" w:lineRule="exact"/>
        <w:rPr>
          <w:sz w:val="20"/>
          <w:szCs w:val="20"/>
          <w:color w:val="auto"/>
        </w:rPr>
      </w:pPr>
    </w:p>
    <w:p>
      <w:pPr>
        <w:jc w:val="both"/>
        <w:ind w:right="100" w:firstLine="309"/>
        <w:spacing w:after="0" w:line="292" w:lineRule="auto"/>
        <w:rPr>
          <w:sz w:val="20"/>
          <w:szCs w:val="20"/>
          <w:color w:val="auto"/>
        </w:rPr>
      </w:pPr>
      <w:r>
        <w:rPr>
          <w:rFonts w:ascii="Arial" w:cs="Arial" w:eastAsia="Arial" w:hAnsi="Arial"/>
          <w:sz w:val="15"/>
          <w:szCs w:val="15"/>
          <w:color w:val="auto"/>
        </w:rPr>
        <w:t>In September 2021, the Company adopted the 2021 Equity Incentive Award Plan (the “2021 Plan”), which allows for the granting of stock options and stock purchase rights to the employees, members of the board of directors, and consultants of the Company. A total of 5,487,700 shares of common stock were reserved for issuance under the 2021 Plan. Options granted under the 2021 Plan may be either incentive stock options (“ISOs”) or nonqualified stock options (“NSOs”).</w:t>
      </w:r>
    </w:p>
    <w:p>
      <w:pPr>
        <w:ind w:right="640"/>
        <w:spacing w:after="0" w:line="266" w:lineRule="auto"/>
        <w:rPr>
          <w:sz w:val="20"/>
          <w:szCs w:val="20"/>
          <w:color w:val="auto"/>
        </w:rPr>
      </w:pPr>
      <w:r>
        <w:rPr>
          <w:rFonts w:ascii="Arial" w:cs="Arial" w:eastAsia="Arial" w:hAnsi="Arial"/>
          <w:sz w:val="17"/>
          <w:szCs w:val="17"/>
          <w:color w:val="auto"/>
        </w:rPr>
        <w:t>ISOs may be granted only to the Company’s employees, including officers and directors who are also employees. NSOs may be granted to employees and consultants.</w:t>
      </w:r>
    </w:p>
    <w:p>
      <w:pPr>
        <w:spacing w:after="0" w:line="123" w:lineRule="exact"/>
        <w:rPr>
          <w:sz w:val="20"/>
          <w:szCs w:val="20"/>
          <w:color w:val="auto"/>
        </w:rPr>
      </w:pPr>
    </w:p>
    <w:p>
      <w:pPr>
        <w:jc w:val="both"/>
        <w:ind w:right="80" w:firstLine="309"/>
        <w:spacing w:after="0" w:line="266" w:lineRule="auto"/>
        <w:rPr>
          <w:sz w:val="20"/>
          <w:szCs w:val="20"/>
          <w:color w:val="auto"/>
        </w:rPr>
      </w:pPr>
      <w:r>
        <w:rPr>
          <w:rFonts w:ascii="Arial" w:cs="Arial" w:eastAsia="Arial" w:hAnsi="Arial"/>
          <w:sz w:val="17"/>
          <w:szCs w:val="17"/>
          <w:color w:val="auto"/>
        </w:rPr>
        <w:t>Options under the 2021 Plan may be granted for periods of up to 10 years and at prices no less than 100% of the estimated fair value of the shares on the date of grant as determined by the board of directors, provided, however, that the exercise price of an ISO and NSO granted to a 10% shareholder shall not be less than 110% of the estimated fair value of the shares on the date of grant.</w:t>
      </w:r>
    </w:p>
    <w:p>
      <w:pPr>
        <w:spacing w:after="0" w:line="124" w:lineRule="exact"/>
        <w:rPr>
          <w:sz w:val="20"/>
          <w:szCs w:val="20"/>
          <w:color w:val="auto"/>
        </w:rPr>
      </w:pPr>
    </w:p>
    <w:p>
      <w:pPr>
        <w:ind w:right="180" w:firstLine="309"/>
        <w:spacing w:after="0" w:line="262" w:lineRule="auto"/>
        <w:rPr>
          <w:sz w:val="20"/>
          <w:szCs w:val="20"/>
          <w:color w:val="auto"/>
        </w:rPr>
      </w:pPr>
      <w:r>
        <w:rPr>
          <w:rFonts w:ascii="Arial" w:cs="Arial" w:eastAsia="Arial" w:hAnsi="Arial"/>
          <w:sz w:val="17"/>
          <w:szCs w:val="17"/>
          <w:color w:val="auto"/>
        </w:rPr>
        <w:t>Granted options for newly hired employees usually vest over four years monthly with a one-year cliff vesting, and follow-on options vest monthly over four years with no cliff vesting. Options granted to consultants have various vesting schedules depending on the underlying consulting arrangement and anticipated period of service. Granted restricted stock units usually vest over four years annually. As of December 31, 2022, there were 4.4 million shares available for grant and 1.1 million awards outstanding under the 2021 Plan.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2008 Stock Plan</w:t>
      </w:r>
    </w:p>
    <w:p>
      <w:pPr>
        <w:spacing w:after="0" w:line="165" w:lineRule="exact"/>
        <w:rPr>
          <w:sz w:val="20"/>
          <w:szCs w:val="20"/>
          <w:color w:val="auto"/>
        </w:rPr>
      </w:pPr>
    </w:p>
    <w:p>
      <w:pPr>
        <w:ind w:right="20" w:firstLine="309"/>
        <w:spacing w:after="0" w:line="258" w:lineRule="auto"/>
        <w:rPr>
          <w:sz w:val="20"/>
          <w:szCs w:val="20"/>
          <w:color w:val="auto"/>
        </w:rPr>
      </w:pPr>
      <w:r>
        <w:rPr>
          <w:rFonts w:ascii="Arial" w:cs="Arial" w:eastAsia="Arial" w:hAnsi="Arial"/>
          <w:sz w:val="17"/>
          <w:szCs w:val="17"/>
          <w:color w:val="auto"/>
        </w:rPr>
        <w:t>The Company ceased making awards under the 2008 Stock Plan upon the effective date of the Company’s IPO. In 2008, the Company adopted the 2008 Stock Plan (the “2008 Plan”), which allows for the granting of stock options and stock purchase rights to the employees, members of the board of directors, and consultants of the Company. Options granted under the 2008 Plan may be either incentive stock options (“ISOs”) or nonqualified stock options (“NSOs”). ISOs may be granted only to the Company’s employees, including officers and directors who are also employees. NSOs may be granted to employees and consultants. Options granted under the 2008 Plan will start expiring in August 2021. Options outstanding under the 2008 Plan will expire upon forfeiture. As of December 31, 2022, 5.0 million options were outstanding under the 2008 Plan.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165"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In September 2021, the Company adopted the 2021 Employee Stock Purchase Plan (the “2021 ESPP”). The 2021 ESPP became effective on the effective date of the IPO. A total of 412,988 shares were initially reserved for issuance under the 2021 ESPP. Additionally, the number of shares of common stock reserved for issuance under the 2021 ESPP will increase automatically each year, beginning on January 1, 2022, and continuing through and including January 1, 2031, by the lesser of (1) 1% of the total number of shares of common stock outstanding on December 31 of the preceding calendar year; or (2) such lesser number as determined by the Company’s board of directors. The number of shares that may be issued under the 2021 ESPP shall not exceed a total of 10,526,315 shares. As of December 31, 2022, approximately 110,000 shares have been issued under the 2021 ESPP. As of December 31, 2022, there were 0.7 million shares available for grant under the 2021 ESPP.</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stock-based compensation recognized, before taxes,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sales</w:t>
            </w:r>
          </w:p>
        </w:tc>
        <w:tc>
          <w:tcPr>
            <w:tcW w:w="920" w:type="dxa"/>
            <w:vAlign w:val="bottom"/>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Research and development</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2,230</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783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2,760</w:t>
            </w:r>
          </w:p>
        </w:tc>
      </w:tr>
      <w:tr>
        <w:trPr>
          <w:trHeight w:val="213"/>
        </w:trPr>
        <w:tc>
          <w:tcPr>
            <w:tcW w:w="8180" w:type="dxa"/>
            <w:vAlign w:val="bottom"/>
          </w:tcPr>
          <w:p>
            <w:pPr>
              <w:ind w:left="220"/>
              <w:spacing w:after="0"/>
              <w:rPr>
                <w:sz w:val="20"/>
                <w:szCs w:val="20"/>
                <w:color w:val="auto"/>
              </w:rPr>
            </w:pPr>
            <w:r>
              <w:rPr>
                <w:rFonts w:ascii="Arial" w:cs="Arial" w:eastAsia="Arial" w:hAnsi="Arial"/>
                <w:sz w:val="17"/>
                <w:szCs w:val="17"/>
                <w:color w:val="auto"/>
              </w:rPr>
              <w:t>Total stock-based compensation</w:t>
            </w:r>
          </w:p>
        </w:tc>
        <w:tc>
          <w:tcPr>
            <w:tcW w:w="920" w:type="dxa"/>
            <w:vAlign w:val="bottom"/>
            <w:tcBorders>
              <w:bottom w:val="single" w:sz="8" w:color="auto"/>
            </w:tcBorders>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10,670</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3,796</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Total stock-based compensation cost capitalized in inventory was $0.3 million and $0 as of December 31, 2022 and 2021,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 Options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Company’s stock option activity and related information are as follows (options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20" w:type="dxa"/>
            <w:vAlign w:val="bottom"/>
          </w:tcPr>
          <w:p>
            <w:pPr>
              <w:spacing w:after="0"/>
              <w:rPr>
                <w:sz w:val="15"/>
                <w:szCs w:val="15"/>
                <w:color w:val="auto"/>
              </w:rPr>
            </w:pPr>
          </w:p>
        </w:tc>
        <w:tc>
          <w:tcPr>
            <w:tcW w:w="2820" w:type="dxa"/>
            <w:vAlign w:val="bottom"/>
            <w:gridSpan w:val="4"/>
          </w:tcPr>
          <w:p>
            <w:pPr>
              <w:jc w:val="right"/>
              <w:ind w:right="978"/>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2820" w:type="dxa"/>
            <w:vAlign w:val="bottom"/>
            <w:gridSpan w:val="4"/>
          </w:tcPr>
          <w:p>
            <w:pPr>
              <w:jc w:val="right"/>
              <w:ind w:right="77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8420" w:type="dxa"/>
            <w:vAlign w:val="bottom"/>
          </w:tcPr>
          <w:p>
            <w:pPr>
              <w:spacing w:after="0"/>
              <w:rPr>
                <w:sz w:val="10"/>
                <w:szCs w:val="10"/>
                <w:color w:val="auto"/>
              </w:rPr>
            </w:pPr>
          </w:p>
        </w:tc>
        <w:tc>
          <w:tcPr>
            <w:tcW w:w="13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8"/>
              <w:spacing w:after="0" w:line="122" w:lineRule="exact"/>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86"/>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9"/>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w:t>
            </w:r>
          </w:p>
        </w:tc>
        <w:tc>
          <w:tcPr>
            <w:tcW w:w="0" w:type="dxa"/>
            <w:vAlign w:val="bottom"/>
          </w:tcPr>
          <w:p>
            <w:pPr>
              <w:spacing w:after="0"/>
              <w:rPr>
                <w:sz w:val="1"/>
                <w:szCs w:val="1"/>
                <w:color w:val="auto"/>
              </w:rPr>
            </w:pPr>
          </w:p>
        </w:tc>
      </w:tr>
      <w:tr>
        <w:trPr>
          <w:trHeight w:val="218"/>
        </w:trPr>
        <w:tc>
          <w:tcPr>
            <w:tcW w:w="8420" w:type="dxa"/>
            <w:vAlign w:val="bottom"/>
          </w:tcPr>
          <w:p>
            <w:pPr>
              <w:ind w:left="1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35.58</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218"/>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20" w:type="dxa"/>
            <w:vAlign w:val="bottom"/>
          </w:tcPr>
          <w:p>
            <w:pPr>
              <w:ind w:left="20"/>
              <w:spacing w:after="0" w:line="191" w:lineRule="exact"/>
              <w:rPr>
                <w:sz w:val="20"/>
                <w:szCs w:val="20"/>
                <w:color w:val="auto"/>
              </w:rPr>
            </w:pPr>
            <w:r>
              <w:rPr>
                <w:rFonts w:ascii="Arial" w:cs="Arial" w:eastAsia="Arial" w:hAnsi="Arial"/>
                <w:sz w:val="17"/>
                <w:szCs w:val="17"/>
                <w:color w:val="auto"/>
              </w:rPr>
              <w:t>Vested and expected to vest</w:t>
            </w:r>
          </w:p>
        </w:tc>
        <w:tc>
          <w:tcPr>
            <w:tcW w:w="13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5,353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6.93</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20" w:firstLine="309"/>
        <w:spacing w:after="0" w:line="258" w:lineRule="auto"/>
        <w:rPr>
          <w:sz w:val="20"/>
          <w:szCs w:val="20"/>
          <w:color w:val="auto"/>
        </w:rPr>
      </w:pPr>
      <w:r>
        <w:rPr>
          <w:rFonts w:ascii="Arial" w:cs="Arial" w:eastAsia="Arial" w:hAnsi="Arial"/>
          <w:sz w:val="17"/>
          <w:szCs w:val="17"/>
          <w:color w:val="auto"/>
        </w:rPr>
        <w:t>The weighted-average grant date fair value of options granted during the years of December 31, 2022 and 2021 was $19.15 and $4.36, respectively. As of December 31, 2022, the aggregate pre-tax intrinsic value of options outstanding and exercisable was $126.3 million and options outstanding were $185.3 million. The aggregate pre-tax intrinsic value of options exercised was $29.8 million and $10.9 million during the years ended December 31, 2022 and 2021, respectively. The aggregate pre-tax intrinsic value was calculated as the difference between the exercise prices of the underlying options and the estimated fair value of the common stock on the date of exercise. The total fair value of options vested was $4.8 million and $3.4 million during the years ended December 31, 2022 and 2021, respectively.</w:t>
      </w:r>
    </w:p>
    <w:p>
      <w:pPr>
        <w:spacing w:after="0" w:line="132" w:lineRule="exact"/>
        <w:rPr>
          <w:sz w:val="20"/>
          <w:szCs w:val="20"/>
          <w:color w:val="auto"/>
        </w:rPr>
      </w:pPr>
    </w:p>
    <w:p>
      <w:pPr>
        <w:ind w:right="260" w:firstLine="309"/>
        <w:spacing w:after="0" w:line="279" w:lineRule="auto"/>
        <w:rPr>
          <w:sz w:val="20"/>
          <w:szCs w:val="20"/>
          <w:color w:val="auto"/>
        </w:rPr>
      </w:pPr>
      <w:r>
        <w:rPr>
          <w:rFonts w:ascii="Arial" w:cs="Arial" w:eastAsia="Arial" w:hAnsi="Arial"/>
          <w:sz w:val="17"/>
          <w:szCs w:val="17"/>
          <w:color w:val="auto"/>
        </w:rPr>
        <w:t>As of December 31, 2022, total unrecognized stock-based compensation related to unvested stock options was $8.5 million, which the Company expects to recognize over a remaining weighted-average period of 2.4 years.</w:t>
      </w:r>
    </w:p>
    <w:p>
      <w:pPr>
        <w:spacing w:after="0" w:line="113"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color w:val="auto"/>
        </w:rPr>
        <w:t>The fair value of the options granted to employees or directors was estimated as of the grant date using the Black-Scholes model assuming the weighted-average assumptions listed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700" w:type="dxa"/>
            <w:vAlign w:val="bottom"/>
            <w:gridSpan w:val="4"/>
          </w:tcPr>
          <w:p>
            <w:pPr>
              <w:jc w:val="right"/>
              <w:ind w:right="22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Pr>
          <w:p>
            <w:pPr>
              <w:spacing w:after="0"/>
              <w:rPr>
                <w:sz w:val="15"/>
                <w:szCs w:val="15"/>
                <w:color w:val="auto"/>
              </w:rPr>
            </w:pPr>
          </w:p>
        </w:tc>
      </w:tr>
      <w:tr>
        <w:trPr>
          <w:trHeight w:val="24"/>
        </w:trPr>
        <w:tc>
          <w:tcPr>
            <w:tcW w:w="3720" w:type="dxa"/>
            <w:vAlign w:val="bottom"/>
          </w:tcPr>
          <w:p>
            <w:pPr>
              <w:spacing w:after="0"/>
              <w:rPr>
                <w:sz w:val="2"/>
                <w:szCs w:val="2"/>
                <w:color w:val="auto"/>
              </w:rPr>
            </w:pPr>
          </w:p>
        </w:tc>
        <w:tc>
          <w:tcPr>
            <w:tcW w:w="520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79"/>
        </w:trPr>
        <w:tc>
          <w:tcPr>
            <w:tcW w:w="3720" w:type="dxa"/>
            <w:vAlign w:val="bottom"/>
            <w:tcBorders>
              <w:bottom w:val="single" w:sz="8" w:color="CCEEFF"/>
            </w:tcBorders>
          </w:tcPr>
          <w:p>
            <w:pPr>
              <w:spacing w:after="0"/>
              <w:rPr>
                <w:sz w:val="15"/>
                <w:szCs w:val="15"/>
                <w:color w:val="auto"/>
              </w:rPr>
            </w:pPr>
          </w:p>
        </w:tc>
        <w:tc>
          <w:tcPr>
            <w:tcW w:w="424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(years)</w:t>
            </w:r>
          </w:p>
        </w:tc>
        <w:tc>
          <w:tcPr>
            <w:tcW w:w="4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372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55 %</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50 %</w:t>
            </w:r>
          </w:p>
        </w:tc>
      </w:tr>
      <w:tr>
        <w:trPr>
          <w:trHeight w:val="22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4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r>
      <w:tr>
        <w:trPr>
          <w:trHeight w:val="218"/>
        </w:trPr>
        <w:tc>
          <w:tcPr>
            <w:tcW w:w="3720" w:type="dxa"/>
            <w:vAlign w:val="bottom"/>
          </w:tcPr>
          <w:p>
            <w:pPr>
              <w:ind w:left="20"/>
              <w:spacing w:after="0"/>
              <w:rPr>
                <w:sz w:val="20"/>
                <w:szCs w:val="20"/>
                <w:color w:val="auto"/>
              </w:rPr>
            </w:pPr>
            <w:r>
              <w:rPr>
                <w:rFonts w:ascii="Arial" w:cs="Arial" w:eastAsia="Arial" w:hAnsi="Arial"/>
                <w:sz w:val="17"/>
                <w:szCs w:val="17"/>
                <w:color w:val="auto"/>
              </w:rPr>
              <w:t>Expected dividend rate</w:t>
            </w:r>
          </w:p>
        </w:tc>
        <w:tc>
          <w:tcPr>
            <w:tcW w:w="4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 %</w:t>
            </w:r>
          </w:p>
        </w:tc>
        <w:tc>
          <w:tcPr>
            <w:tcW w:w="10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w:t>
            </w:r>
          </w:p>
        </w:tc>
        <w:tc>
          <w:tcPr>
            <w:tcW w:w="5200" w:type="dxa"/>
            <w:vAlign w:val="bottom"/>
            <w:gridSpan w:val="2"/>
            <w:shd w:val="clear" w:color="auto" w:fill="CCEEFF"/>
          </w:tcPr>
          <w:p>
            <w:pPr>
              <w:jc w:val="right"/>
              <w:ind w:right="791"/>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3"/>
              </w:rPr>
              <w:t>19.15</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4.36</w:t>
            </w:r>
          </w:p>
        </w:tc>
      </w:tr>
      <w:tr>
        <w:trPr>
          <w:trHeight w:val="862"/>
        </w:trPr>
        <w:tc>
          <w:tcPr>
            <w:tcW w:w="3720" w:type="dxa"/>
            <w:vAlign w:val="bottom"/>
          </w:tcPr>
          <w:p>
            <w:pPr>
              <w:spacing w:after="0"/>
              <w:rPr>
                <w:sz w:val="24"/>
                <w:szCs w:val="24"/>
                <w:color w:val="auto"/>
              </w:rPr>
            </w:pPr>
          </w:p>
        </w:tc>
        <w:tc>
          <w:tcPr>
            <w:tcW w:w="5200" w:type="dxa"/>
            <w:vAlign w:val="bottom"/>
            <w:gridSpan w:val="2"/>
          </w:tcPr>
          <w:p>
            <w:pPr>
              <w:jc w:val="right"/>
              <w:ind w:right="3071"/>
              <w:spacing w:after="0"/>
              <w:rPr>
                <w:sz w:val="20"/>
                <w:szCs w:val="20"/>
                <w:color w:val="auto"/>
              </w:rPr>
            </w:pPr>
            <w:r>
              <w:rPr>
                <w:rFonts w:ascii="Arial" w:cs="Arial" w:eastAsia="Arial" w:hAnsi="Arial"/>
                <w:sz w:val="17"/>
                <w:szCs w:val="17"/>
                <w:color w:val="auto"/>
              </w:rPr>
              <w:t>F-21</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0"/>
        </w:trPr>
        <w:tc>
          <w:tcPr>
            <w:tcW w:w="372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RSUs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the Company’s RSU activity and related information are as follows (RSUs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420" w:type="dxa"/>
            <w:vAlign w:val="bottom"/>
          </w:tcPr>
          <w:p>
            <w:pPr>
              <w:spacing w:after="0"/>
              <w:rPr>
                <w:sz w:val="15"/>
                <w:szCs w:val="15"/>
                <w:color w:val="auto"/>
              </w:rPr>
            </w:pPr>
          </w:p>
        </w:tc>
        <w:tc>
          <w:tcPr>
            <w:tcW w:w="2820" w:type="dxa"/>
            <w:vAlign w:val="bottom"/>
            <w:gridSpan w:val="4"/>
          </w:tcPr>
          <w:p>
            <w:pPr>
              <w:jc w:val="right"/>
              <w:ind w:right="979"/>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3"/>
        </w:trPr>
        <w:tc>
          <w:tcPr>
            <w:tcW w:w="8420" w:type="dxa"/>
            <w:vAlign w:val="bottom"/>
          </w:tcPr>
          <w:p>
            <w:pPr>
              <w:spacing w:after="0"/>
              <w:rPr>
                <w:sz w:val="16"/>
                <w:szCs w:val="16"/>
                <w:color w:val="auto"/>
              </w:rPr>
            </w:pPr>
          </w:p>
        </w:tc>
        <w:tc>
          <w:tcPr>
            <w:tcW w:w="2820" w:type="dxa"/>
            <w:vAlign w:val="bottom"/>
            <w:gridSpan w:val="4"/>
          </w:tcPr>
          <w:p>
            <w:pPr>
              <w:jc w:val="right"/>
              <w:ind w:right="77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8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8420" w:type="dxa"/>
            <w:vAlign w:val="bottom"/>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Restricted Stock Units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59"/>
              <w:spacing w:after="0" w:line="125" w:lineRule="exact"/>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84"/>
        </w:trPr>
        <w:tc>
          <w:tcPr>
            <w:tcW w:w="84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8"/>
        </w:trPr>
        <w:tc>
          <w:tcPr>
            <w:tcW w:w="8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beginning of period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34.78</w:t>
            </w:r>
          </w:p>
        </w:tc>
        <w:tc>
          <w:tcPr>
            <w:tcW w:w="0" w:type="dxa"/>
            <w:vAlign w:val="bottom"/>
          </w:tcPr>
          <w:p>
            <w:pPr>
              <w:spacing w:after="0"/>
              <w:rPr>
                <w:sz w:val="1"/>
                <w:szCs w:val="1"/>
                <w:color w:val="auto"/>
              </w:rPr>
            </w:pPr>
          </w:p>
        </w:tc>
      </w:tr>
      <w:tr>
        <w:trPr>
          <w:trHeight w:val="218"/>
        </w:trPr>
        <w:tc>
          <w:tcPr>
            <w:tcW w:w="8420" w:type="dxa"/>
            <w:vAlign w:val="bottom"/>
          </w:tcPr>
          <w:p>
            <w:pPr>
              <w:ind w:left="1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spacing w:after="0"/>
              <w:rPr>
                <w:sz w:val="20"/>
                <w:szCs w:val="20"/>
                <w:color w:val="auto"/>
              </w:rPr>
            </w:pPr>
            <w:r>
              <w:rPr>
                <w:rFonts w:ascii="Arial" w:cs="Arial" w:eastAsia="Arial" w:hAnsi="Arial"/>
                <w:sz w:val="17"/>
                <w:szCs w:val="17"/>
                <w:color w:val="auto"/>
              </w:rPr>
              <w:t>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36.23</w:t>
            </w:r>
          </w:p>
        </w:tc>
        <w:tc>
          <w:tcPr>
            <w:tcW w:w="0" w:type="dxa"/>
            <w:vAlign w:val="bottom"/>
          </w:tcPr>
          <w:p>
            <w:pPr>
              <w:spacing w:after="0"/>
              <w:rPr>
                <w:sz w:val="1"/>
                <w:szCs w:val="1"/>
                <w:color w:val="auto"/>
              </w:rPr>
            </w:pPr>
          </w:p>
        </w:tc>
      </w:tr>
      <w:tr>
        <w:trPr>
          <w:trHeight w:val="220"/>
        </w:trPr>
        <w:tc>
          <w:tcPr>
            <w:tcW w:w="84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Released</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31.28</w:t>
            </w:r>
          </w:p>
        </w:tc>
        <w:tc>
          <w:tcPr>
            <w:tcW w:w="0" w:type="dxa"/>
            <w:vAlign w:val="bottom"/>
          </w:tcPr>
          <w:p>
            <w:pPr>
              <w:spacing w:after="0"/>
              <w:rPr>
                <w:sz w:val="1"/>
                <w:szCs w:val="1"/>
                <w:color w:val="auto"/>
              </w:rPr>
            </w:pPr>
          </w:p>
        </w:tc>
      </w:tr>
      <w:tr>
        <w:trPr>
          <w:trHeight w:val="218"/>
        </w:trPr>
        <w:tc>
          <w:tcPr>
            <w:tcW w:w="842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34.78</w:t>
            </w:r>
          </w:p>
        </w:tc>
        <w:tc>
          <w:tcPr>
            <w:tcW w:w="0" w:type="dxa"/>
            <w:vAlign w:val="bottom"/>
          </w:tcPr>
          <w:p>
            <w:pPr>
              <w:spacing w:after="0"/>
              <w:rPr>
                <w:sz w:val="1"/>
                <w:szCs w:val="1"/>
                <w:color w:val="auto"/>
              </w:rPr>
            </w:pPr>
          </w:p>
        </w:tc>
      </w:tr>
      <w:tr>
        <w:trPr>
          <w:trHeight w:val="238"/>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end of period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36.35</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weighted-average grant date fair value of RSUs granted during the years of December 31, 2022 and 2021 was $36.23 and $34.78, respectively.</w:t>
      </w:r>
    </w:p>
    <w:p>
      <w:pPr>
        <w:spacing w:after="0" w:line="177" w:lineRule="exact"/>
        <w:rPr>
          <w:sz w:val="20"/>
          <w:szCs w:val="20"/>
          <w:color w:val="auto"/>
        </w:rPr>
      </w:pPr>
    </w:p>
    <w:p>
      <w:pPr>
        <w:ind w:right="800" w:firstLine="309"/>
        <w:spacing w:after="0" w:line="279" w:lineRule="auto"/>
        <w:rPr>
          <w:sz w:val="20"/>
          <w:szCs w:val="20"/>
          <w:color w:val="auto"/>
        </w:rPr>
      </w:pPr>
      <w:r>
        <w:rPr>
          <w:rFonts w:ascii="Arial" w:cs="Arial" w:eastAsia="Arial" w:hAnsi="Arial"/>
          <w:sz w:val="17"/>
          <w:szCs w:val="17"/>
          <w:color w:val="auto"/>
        </w:rPr>
        <w:t>As of December 31, 2022, the aggregate pre-tax intrinsic value of RSUs outstanding was $30.8 million, calculated based on the closing price of the Company’s common stock at the end of the period.</w:t>
      </w:r>
    </w:p>
    <w:p>
      <w:pPr>
        <w:spacing w:after="0" w:line="113" w:lineRule="exact"/>
        <w:rPr>
          <w:sz w:val="20"/>
          <w:szCs w:val="20"/>
          <w:color w:val="auto"/>
        </w:rPr>
      </w:pPr>
    </w:p>
    <w:p>
      <w:pPr>
        <w:ind w:right="680" w:firstLine="309"/>
        <w:spacing w:after="0" w:line="279" w:lineRule="auto"/>
        <w:rPr>
          <w:sz w:val="20"/>
          <w:szCs w:val="20"/>
          <w:color w:val="auto"/>
        </w:rPr>
      </w:pPr>
      <w:r>
        <w:rPr>
          <w:rFonts w:ascii="Arial" w:cs="Arial" w:eastAsia="Arial" w:hAnsi="Arial"/>
          <w:sz w:val="17"/>
          <w:szCs w:val="17"/>
          <w:color w:val="auto"/>
        </w:rPr>
        <w:t>As of December 31, 2022, total unrecognized stock-based compensation related to unvested RSUs was $22.8 million, which the Company expects to recognize over a remaining weighted-average period of 3.3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ESPP</w:t>
      </w:r>
    </w:p>
    <w:p>
      <w:pPr>
        <w:spacing w:after="0" w:line="165" w:lineRule="exact"/>
        <w:rPr>
          <w:sz w:val="20"/>
          <w:szCs w:val="20"/>
          <w:color w:val="auto"/>
        </w:rPr>
      </w:pPr>
    </w:p>
    <w:p>
      <w:pPr>
        <w:ind w:right="140" w:firstLine="309"/>
        <w:spacing w:after="0" w:line="266" w:lineRule="auto"/>
        <w:rPr>
          <w:sz w:val="20"/>
          <w:szCs w:val="20"/>
          <w:color w:val="auto"/>
        </w:rPr>
      </w:pPr>
      <w:r>
        <w:rPr>
          <w:rFonts w:ascii="Arial" w:cs="Arial" w:eastAsia="Arial" w:hAnsi="Arial"/>
          <w:sz w:val="17"/>
          <w:szCs w:val="17"/>
          <w:color w:val="auto"/>
        </w:rPr>
        <w:t>As of December 31, 2022, there was approximately $1.4 million of unrecognized cost related to employee stock purchases under the 2021 ESPP. This cost is expected to be recognized over a weighted average period of 0.8 years. As of December 31, 2022, a total of 0.7 million shares were available for issuance under the 2021 ESPP.</w:t>
      </w:r>
    </w:p>
    <w:p>
      <w:pPr>
        <w:spacing w:after="0" w:line="124" w:lineRule="exact"/>
        <w:rPr>
          <w:sz w:val="20"/>
          <w:szCs w:val="20"/>
          <w:color w:val="auto"/>
        </w:rPr>
      </w:pPr>
    </w:p>
    <w:p>
      <w:pPr>
        <w:ind w:right="480" w:firstLine="309"/>
        <w:spacing w:after="0" w:line="279" w:lineRule="auto"/>
        <w:rPr>
          <w:sz w:val="20"/>
          <w:szCs w:val="20"/>
          <w:color w:val="auto"/>
        </w:rPr>
      </w:pPr>
      <w:r>
        <w:rPr>
          <w:rFonts w:ascii="Arial" w:cs="Arial" w:eastAsia="Arial" w:hAnsi="Arial"/>
          <w:sz w:val="17"/>
          <w:szCs w:val="17"/>
          <w:color w:val="auto"/>
        </w:rPr>
        <w:t>The fair value of the options granted under the 2021 ESPP to employees was estimated as of the grant date using the Black-Scholes model assuming the weighted-average assumptions listed in the following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ind w:right="439"/>
              <w:spacing w:after="0"/>
              <w:rPr>
                <w:sz w:val="20"/>
                <w:szCs w:val="20"/>
                <w:color w:val="auto"/>
              </w:rPr>
            </w:pPr>
            <w:r>
              <w:rPr>
                <w:rFonts w:ascii="Arial" w:cs="Arial" w:eastAsia="Arial" w:hAnsi="Arial"/>
                <w:sz w:val="14"/>
                <w:szCs w:val="14"/>
                <w:b w:val="1"/>
                <w:bCs w:val="1"/>
                <w:color w:val="auto"/>
              </w:rPr>
              <w:t>Year Ended</w:t>
            </w:r>
          </w:p>
        </w:tc>
      </w:tr>
      <w:tr>
        <w:trPr>
          <w:trHeight w:val="193"/>
        </w:trPr>
        <w:tc>
          <w:tcPr>
            <w:tcW w:w="8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239"/>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8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(years)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56 %</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r>
      <w:tr>
        <w:trPr>
          <w:trHeight w:val="218"/>
        </w:trPr>
        <w:tc>
          <w:tcPr>
            <w:tcW w:w="8160" w:type="dxa"/>
            <w:vAlign w:val="bottom"/>
          </w:tcPr>
          <w:p>
            <w:pPr>
              <w:ind w:left="20"/>
              <w:spacing w:after="0"/>
              <w:rPr>
                <w:sz w:val="20"/>
                <w:szCs w:val="20"/>
                <w:color w:val="auto"/>
              </w:rPr>
            </w:pPr>
            <w:r>
              <w:rPr>
                <w:rFonts w:ascii="Arial" w:cs="Arial" w:eastAsia="Arial" w:hAnsi="Arial"/>
                <w:sz w:val="17"/>
                <w:szCs w:val="17"/>
                <w:color w:val="auto"/>
              </w:rPr>
              <w:t>Expected dividend rate</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119"/>
              <w:spacing w:after="0"/>
              <w:rPr>
                <w:sz w:val="20"/>
                <w:szCs w:val="20"/>
                <w:color w:val="auto"/>
              </w:rPr>
            </w:pPr>
            <w:r>
              <w:rPr>
                <w:rFonts w:ascii="Arial" w:cs="Arial" w:eastAsia="Arial" w:hAnsi="Arial"/>
                <w:sz w:val="17"/>
                <w:szCs w:val="17"/>
                <w:color w:val="auto"/>
              </w:rPr>
              <w:t>15.11</w:t>
            </w:r>
          </w:p>
        </w:tc>
      </w:tr>
    </w:tbl>
    <w:p>
      <w:pPr>
        <w:spacing w:after="0" w:line="200" w:lineRule="exact"/>
        <w:rPr>
          <w:sz w:val="20"/>
          <w:szCs w:val="20"/>
          <w:color w:val="auto"/>
        </w:rPr>
      </w:pPr>
    </w:p>
    <w:p>
      <w:pPr>
        <w:spacing w:after="0" w:line="400" w:lineRule="exact"/>
        <w:rPr>
          <w:sz w:val="20"/>
          <w:szCs w:val="20"/>
          <w:color w:val="auto"/>
        </w:rPr>
      </w:pPr>
    </w:p>
    <w:p>
      <w:pPr>
        <w:ind w:left="300" w:hanging="297"/>
        <w:spacing w:after="0"/>
        <w:tabs>
          <w:tab w:leader="none" w:pos="30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71"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The Company did not record an income tax provision for both periods.</w:t>
      </w:r>
    </w:p>
    <w:p>
      <w:pPr>
        <w:spacing w:after="0" w:line="165" w:lineRule="exact"/>
        <w:rPr>
          <w:rFonts w:ascii="Arial" w:cs="Arial" w:eastAsia="Arial" w:hAnsi="Arial"/>
          <w:sz w:val="17"/>
          <w:szCs w:val="17"/>
          <w:b w:val="1"/>
          <w:bCs w:val="1"/>
          <w:color w:val="auto"/>
        </w:rPr>
      </w:pPr>
    </w:p>
    <w:p>
      <w:pPr>
        <w:ind w:left="320"/>
        <w:spacing w:after="0"/>
        <w:rPr>
          <w:rFonts w:ascii="Arial" w:cs="Arial" w:eastAsia="Arial" w:hAnsi="Arial"/>
          <w:sz w:val="17"/>
          <w:szCs w:val="17"/>
          <w:b w:val="1"/>
          <w:bCs w:val="1"/>
          <w:color w:val="auto"/>
        </w:rPr>
      </w:pPr>
      <w:r>
        <w:rPr>
          <w:rFonts w:ascii="Arial" w:cs="Arial" w:eastAsia="Arial" w:hAnsi="Arial"/>
          <w:sz w:val="15"/>
          <w:szCs w:val="15"/>
          <w:color w:val="auto"/>
        </w:rPr>
        <w:t>Reconciliation between the tax provision computed at the federal statutory income tax rate and the Company's actual effective income tax rate are as follows:</w:t>
      </w:r>
    </w:p>
    <w:p>
      <w:pPr>
        <w:spacing w:after="0" w:line="217"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96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r>
      <w:tr>
        <w:trPr>
          <w:trHeight w:val="219"/>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Federal statutory tax rate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220"/>
              <w:spacing w:after="0"/>
              <w:rPr>
                <w:sz w:val="20"/>
                <w:szCs w:val="20"/>
                <w:color w:val="auto"/>
              </w:rPr>
            </w:pPr>
            <w:r>
              <w:rPr>
                <w:rFonts w:ascii="Arial" w:cs="Arial" w:eastAsia="Arial" w:hAnsi="Arial"/>
                <w:sz w:val="17"/>
                <w:szCs w:val="17"/>
                <w:color w:val="auto"/>
                <w:w w:val="92"/>
              </w:rPr>
              <w:t>21 %</w:t>
            </w:r>
          </w:p>
        </w:tc>
      </w:tr>
      <w:tr>
        <w:trPr>
          <w:trHeight w:val="218"/>
        </w:trPr>
        <w:tc>
          <w:tcPr>
            <w:tcW w:w="9000" w:type="dxa"/>
            <w:vAlign w:val="bottom"/>
            <w:gridSpan w:val="2"/>
          </w:tcPr>
          <w:p>
            <w:pPr>
              <w:ind w:left="20"/>
              <w:spacing w:after="0"/>
              <w:rPr>
                <w:sz w:val="20"/>
                <w:szCs w:val="20"/>
                <w:color w:val="auto"/>
              </w:rPr>
            </w:pPr>
            <w:r>
              <w:rPr>
                <w:rFonts w:ascii="Arial" w:cs="Arial" w:eastAsia="Arial" w:hAnsi="Arial"/>
                <w:sz w:val="17"/>
                <w:szCs w:val="17"/>
                <w:color w:val="auto"/>
              </w:rPr>
              <w:t>R&amp;D tax credit</w:t>
            </w: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600" w:type="dxa"/>
            <w:vAlign w:val="bottom"/>
          </w:tcPr>
          <w:p>
            <w:pPr>
              <w:jc w:val="right"/>
              <w:ind w:right="117"/>
              <w:spacing w:after="0"/>
              <w:rPr>
                <w:sz w:val="20"/>
                <w:szCs w:val="20"/>
                <w:color w:val="auto"/>
              </w:rPr>
            </w:pPr>
            <w:r>
              <w:rPr>
                <w:rFonts w:ascii="Arial" w:cs="Arial" w:eastAsia="Arial" w:hAnsi="Arial"/>
                <w:sz w:val="17"/>
                <w:szCs w:val="17"/>
                <w:color w:val="auto"/>
              </w:rPr>
              <w:t>2</w:t>
            </w:r>
          </w:p>
        </w:tc>
      </w:tr>
      <w:tr>
        <w:trPr>
          <w:trHeight w:val="220"/>
        </w:trPr>
        <w:tc>
          <w:tcPr>
            <w:tcW w:w="9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Stock-based compensation and other permanent differences</w:t>
            </w: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ind w:left="1220"/>
              <w:spacing w:after="0"/>
              <w:rPr>
                <w:sz w:val="20"/>
                <w:szCs w:val="20"/>
                <w:color w:val="auto"/>
              </w:rPr>
            </w:pPr>
            <w:r>
              <w:rPr>
                <w:rFonts w:ascii="Arial" w:cs="Arial" w:eastAsia="Arial" w:hAnsi="Arial"/>
                <w:sz w:val="17"/>
                <w:szCs w:val="17"/>
                <w:color w:val="auto"/>
              </w:rPr>
              <w:t>—</w:t>
            </w:r>
          </w:p>
        </w:tc>
      </w:tr>
      <w:tr>
        <w:trPr>
          <w:trHeight w:val="21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allowance</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(25)</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(23)</w:t>
            </w:r>
          </w:p>
        </w:tc>
      </w:tr>
      <w:tr>
        <w:trPr>
          <w:trHeight w:val="233"/>
        </w:trPr>
        <w:tc>
          <w:tcPr>
            <w:tcW w:w="90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1600" w:type="dxa"/>
            <w:vAlign w:val="bottom"/>
            <w:shd w:val="clear" w:color="auto" w:fill="CCEEFF"/>
          </w:tcPr>
          <w:p>
            <w:pPr>
              <w:ind w:left="1220"/>
              <w:spacing w:after="0"/>
              <w:rPr>
                <w:sz w:val="20"/>
                <w:szCs w:val="20"/>
                <w:color w:val="auto"/>
              </w:rPr>
            </w:pPr>
            <w:r>
              <w:rPr>
                <w:rFonts w:ascii="Arial" w:cs="Arial" w:eastAsia="Arial" w:hAnsi="Arial"/>
                <w:sz w:val="17"/>
                <w:szCs w:val="17"/>
                <w:color w:val="auto"/>
                <w:w w:val="97"/>
              </w:rPr>
              <w:t>— %</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834"/>
        </w:trPr>
        <w:tc>
          <w:tcPr>
            <w:tcW w:w="9000" w:type="dxa"/>
            <w:vAlign w:val="bottom"/>
            <w:gridSpan w:val="2"/>
          </w:tcPr>
          <w:p>
            <w:pPr>
              <w:ind w:left="5460"/>
              <w:spacing w:after="0"/>
              <w:rPr>
                <w:sz w:val="20"/>
                <w:szCs w:val="20"/>
                <w:color w:val="auto"/>
              </w:rPr>
            </w:pPr>
            <w:r>
              <w:rPr>
                <w:rFonts w:ascii="Arial" w:cs="Arial" w:eastAsia="Arial" w:hAnsi="Arial"/>
                <w:sz w:val="17"/>
                <w:szCs w:val="17"/>
                <w:color w:val="auto"/>
              </w:rPr>
              <w:t>F-22</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0"/>
        </w:trPr>
        <w:tc>
          <w:tcPr>
            <w:tcW w:w="79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right="40" w:firstLine="309"/>
        <w:spacing w:after="0" w:line="262" w:lineRule="auto"/>
        <w:rPr>
          <w:sz w:val="20"/>
          <w:szCs w:val="20"/>
          <w:color w:val="auto"/>
        </w:rPr>
      </w:pPr>
      <w:r>
        <w:rPr>
          <w:rFonts w:ascii="Arial" w:cs="Arial" w:eastAsia="Arial" w:hAnsi="Arial"/>
          <w:sz w:val="17"/>
          <w:szCs w:val="17"/>
          <w:color w:val="auto"/>
        </w:rPr>
        <w:t>The Company’s income taxes are accounted for in accordance with authoritative guidance, which requires the use of the asset and liability method. Under this method, deferred income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components of net deferred tax assets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8"/>
        </w:trPr>
        <w:tc>
          <w:tcPr>
            <w:tcW w:w="8180" w:type="dxa"/>
            <w:vAlign w:val="bottom"/>
          </w:tcPr>
          <w:p>
            <w:pPr>
              <w:ind w:left="120"/>
              <w:spacing w:after="0"/>
              <w:rPr>
                <w:sz w:val="20"/>
                <w:szCs w:val="20"/>
                <w:color w:val="auto"/>
              </w:rPr>
            </w:pPr>
            <w:r>
              <w:rPr>
                <w:rFonts w:ascii="Arial" w:cs="Arial" w:eastAsia="Arial" w:hAnsi="Arial"/>
                <w:sz w:val="17"/>
                <w:szCs w:val="17"/>
                <w:color w:val="auto"/>
              </w:rPr>
              <w:t>Net operating losses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65,197</w:t>
            </w:r>
          </w:p>
        </w:tc>
        <w:tc>
          <w:tcPr>
            <w:tcW w:w="80" w:type="dxa"/>
            <w:vAlign w:val="bottom"/>
          </w:tcPr>
          <w:p>
            <w:pPr>
              <w:spacing w:after="0"/>
              <w:rPr>
                <w:sz w:val="18"/>
                <w:szCs w:val="18"/>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52,832</w:t>
            </w:r>
          </w:p>
        </w:tc>
      </w:tr>
      <w:tr>
        <w:trPr>
          <w:trHeight w:val="220"/>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w:t>
            </w:r>
          </w:p>
        </w:tc>
      </w:tr>
      <w:tr>
        <w:trPr>
          <w:trHeight w:val="218"/>
        </w:trPr>
        <w:tc>
          <w:tcPr>
            <w:tcW w:w="8180" w:type="dxa"/>
            <w:vAlign w:val="bottom"/>
          </w:tcPr>
          <w:p>
            <w:pPr>
              <w:ind w:left="120"/>
              <w:spacing w:after="0"/>
              <w:rPr>
                <w:sz w:val="20"/>
                <w:szCs w:val="20"/>
                <w:color w:val="auto"/>
              </w:rPr>
            </w:pPr>
            <w:r>
              <w:rPr>
                <w:rFonts w:ascii="Arial" w:cs="Arial" w:eastAsia="Arial" w:hAnsi="Arial"/>
                <w:sz w:val="17"/>
                <w:szCs w:val="17"/>
                <w:color w:val="auto"/>
              </w:rPr>
              <w:t>R&amp;D tax credit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7,346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5,209</w:t>
            </w:r>
          </w:p>
        </w:tc>
      </w:tr>
      <w:tr>
        <w:trPr>
          <w:trHeight w:val="220"/>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Stock-based compensation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w:t>
            </w:r>
          </w:p>
        </w:tc>
      </w:tr>
      <w:tr>
        <w:trPr>
          <w:trHeight w:val="218"/>
        </w:trPr>
        <w:tc>
          <w:tcPr>
            <w:tcW w:w="8180" w:type="dxa"/>
            <w:vAlign w:val="bottom"/>
          </w:tcPr>
          <w:p>
            <w:pPr>
              <w:ind w:left="120"/>
              <w:spacing w:after="0"/>
              <w:rPr>
                <w:sz w:val="20"/>
                <w:szCs w:val="20"/>
                <w:color w:val="auto"/>
              </w:rPr>
            </w:pPr>
            <w:r>
              <w:rPr>
                <w:rFonts w:ascii="Arial" w:cs="Arial" w:eastAsia="Arial" w:hAnsi="Arial"/>
                <w:sz w:val="17"/>
                <w:szCs w:val="17"/>
                <w:color w:val="auto"/>
              </w:rPr>
              <w:t>Capitalized R&amp;D expenses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12,971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6,268</w:t>
            </w:r>
          </w:p>
        </w:tc>
      </w:tr>
      <w:tr>
        <w:trPr>
          <w:trHeight w:val="220"/>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Inventory</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909</w:t>
            </w:r>
          </w:p>
        </w:tc>
      </w:tr>
      <w:tr>
        <w:trPr>
          <w:trHeight w:val="218"/>
        </w:trPr>
        <w:tc>
          <w:tcPr>
            <w:tcW w:w="8180" w:type="dxa"/>
            <w:vAlign w:val="bottom"/>
          </w:tcPr>
          <w:p>
            <w:pPr>
              <w:ind w:left="120"/>
              <w:spacing w:after="0"/>
              <w:rPr>
                <w:sz w:val="20"/>
                <w:szCs w:val="20"/>
                <w:color w:val="auto"/>
              </w:rPr>
            </w:pPr>
            <w:r>
              <w:rPr>
                <w:rFonts w:ascii="Arial" w:cs="Arial" w:eastAsia="Arial" w:hAnsi="Arial"/>
                <w:sz w:val="17"/>
                <w:szCs w:val="17"/>
                <w:color w:val="auto"/>
              </w:rPr>
              <w:t>Lease liability</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6,404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1,003</w:t>
            </w:r>
          </w:p>
        </w:tc>
      </w:tr>
      <w:tr>
        <w:trPr>
          <w:trHeight w:val="220"/>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Accruals and reserves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1,418</w:t>
            </w:r>
          </w:p>
        </w:tc>
      </w:tr>
      <w:tr>
        <w:trPr>
          <w:trHeight w:val="211"/>
        </w:trPr>
        <w:tc>
          <w:tcPr>
            <w:tcW w:w="8180" w:type="dxa"/>
            <w:vAlign w:val="bottom"/>
          </w:tcPr>
          <w:p>
            <w:pPr>
              <w:ind w:left="220"/>
              <w:spacing w:after="0"/>
              <w:rPr>
                <w:sz w:val="20"/>
                <w:szCs w:val="20"/>
                <w:color w:val="auto"/>
              </w:rPr>
            </w:pPr>
            <w:r>
              <w:rPr>
                <w:rFonts w:ascii="Arial" w:cs="Arial" w:eastAsia="Arial" w:hAnsi="Arial"/>
                <w:sz w:val="17"/>
                <w:szCs w:val="17"/>
                <w:color w:val="auto"/>
              </w:rPr>
              <w:t>Total deferred tax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99,884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68,911</w:t>
            </w:r>
          </w:p>
        </w:tc>
      </w:tr>
      <w:tr>
        <w:trPr>
          <w:trHeight w:val="220"/>
        </w:trPr>
        <w:tc>
          <w:tcPr>
            <w:tcW w:w="81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(94,056)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(68,046)</w:t>
            </w:r>
          </w:p>
        </w:tc>
      </w:tr>
      <w:tr>
        <w:trPr>
          <w:trHeight w:val="211"/>
        </w:trPr>
        <w:tc>
          <w:tcPr>
            <w:tcW w:w="8180" w:type="dxa"/>
            <w:vAlign w:val="bottom"/>
          </w:tcPr>
          <w:p>
            <w:pPr>
              <w:ind w:left="220"/>
              <w:spacing w:after="0"/>
              <w:rPr>
                <w:sz w:val="20"/>
                <w:szCs w:val="20"/>
                <w:color w:val="auto"/>
              </w:rPr>
            </w:pPr>
            <w:r>
              <w:rPr>
                <w:rFonts w:ascii="Arial" w:cs="Arial" w:eastAsia="Arial" w:hAnsi="Arial"/>
                <w:sz w:val="17"/>
                <w:szCs w:val="17"/>
                <w:color w:val="auto"/>
              </w:rPr>
              <w:t>Net deferred tax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865</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8"/>
        </w:trPr>
        <w:tc>
          <w:tcPr>
            <w:tcW w:w="818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Right-of-use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(5,828)</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w:t>
            </w:r>
          </w:p>
        </w:tc>
      </w:tr>
      <w:tr>
        <w:trPr>
          <w:trHeight w:val="212"/>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60" w:firstLine="309"/>
        <w:spacing w:after="0" w:line="266" w:lineRule="auto"/>
        <w:rPr>
          <w:sz w:val="20"/>
          <w:szCs w:val="20"/>
          <w:color w:val="auto"/>
        </w:rPr>
      </w:pPr>
      <w:r>
        <w:rPr>
          <w:rFonts w:ascii="Arial" w:cs="Arial" w:eastAsia="Arial" w:hAnsi="Arial"/>
          <w:sz w:val="17"/>
          <w:szCs w:val="17"/>
          <w:color w:val="auto"/>
        </w:rPr>
        <w:t>The Company has evaluated the positive and negative evidence bearing upon the realizability of its deferred tax assets. Based on the Company's history of operating losses, the Company has concluded that it is more likely than not that the benefit of its deferred tax assets will not be realized. The valuation allowance increased by $26.0 million during the year ended December 31, 2022.</w:t>
      </w:r>
    </w:p>
    <w:p>
      <w:pPr>
        <w:spacing w:after="0" w:line="124" w:lineRule="exact"/>
        <w:rPr>
          <w:sz w:val="20"/>
          <w:szCs w:val="20"/>
          <w:color w:val="auto"/>
        </w:rPr>
      </w:pPr>
    </w:p>
    <w:p>
      <w:pPr>
        <w:jc w:val="both"/>
        <w:ind w:right="240" w:firstLine="309"/>
        <w:spacing w:after="0" w:line="266" w:lineRule="auto"/>
        <w:rPr>
          <w:sz w:val="20"/>
          <w:szCs w:val="20"/>
          <w:color w:val="auto"/>
        </w:rPr>
      </w:pPr>
      <w:r>
        <w:rPr>
          <w:rFonts w:ascii="Arial" w:cs="Arial" w:eastAsia="Arial" w:hAnsi="Arial"/>
          <w:sz w:val="17"/>
          <w:szCs w:val="17"/>
          <w:color w:val="auto"/>
        </w:rPr>
        <w:t>As of December 31, 2022 and 2021, the Company has U.S. federal net operating loss (“NOL”) carryforwards of approximately $264.6 million and $215.0 million, respectively, expiring beginning 2028. As of December 31, 2022 and 2021, the Company has U.S. state and local NOL carryforwards of approximately $155.7 million and $123.5 million, respectively, expiring beginning 2028.</w:t>
      </w:r>
    </w:p>
    <w:p>
      <w:pPr>
        <w:spacing w:after="0" w:line="124" w:lineRule="exact"/>
        <w:rPr>
          <w:sz w:val="20"/>
          <w:szCs w:val="20"/>
          <w:color w:val="auto"/>
        </w:rPr>
      </w:pPr>
    </w:p>
    <w:p>
      <w:pPr>
        <w:ind w:right="80" w:firstLine="309"/>
        <w:spacing w:after="0" w:line="290" w:lineRule="auto"/>
        <w:rPr>
          <w:sz w:val="20"/>
          <w:szCs w:val="20"/>
          <w:color w:val="auto"/>
        </w:rPr>
      </w:pPr>
      <w:r>
        <w:rPr>
          <w:rFonts w:ascii="Arial" w:cs="Arial" w:eastAsia="Arial" w:hAnsi="Arial"/>
          <w:sz w:val="16"/>
          <w:szCs w:val="16"/>
          <w:color w:val="auto"/>
        </w:rPr>
        <w:t>As of December 31, 2022 and 2021, the Company has federal research and development credit carryforwards of approximately $6.0 million and $4.2 million, respectively, available to reduce future taxable income, if any. As of December 31, 2022 and 2021, the Company has California research and development credit carryforwards of approximately $4.8 million and $3.4 million, respectively, available to reduce future taxable income, if any.</w:t>
      </w:r>
    </w:p>
    <w:p>
      <w:pPr>
        <w:spacing w:after="0" w:line="107" w:lineRule="exact"/>
        <w:rPr>
          <w:sz w:val="20"/>
          <w:szCs w:val="20"/>
          <w:color w:val="auto"/>
        </w:rPr>
      </w:pPr>
    </w:p>
    <w:p>
      <w:pPr>
        <w:ind w:right="720" w:firstLine="309"/>
        <w:spacing w:after="0" w:line="279" w:lineRule="auto"/>
        <w:rPr>
          <w:sz w:val="20"/>
          <w:szCs w:val="20"/>
          <w:color w:val="auto"/>
        </w:rPr>
      </w:pPr>
      <w:r>
        <w:rPr>
          <w:rFonts w:ascii="Arial" w:cs="Arial" w:eastAsia="Arial" w:hAnsi="Arial"/>
          <w:sz w:val="17"/>
          <w:szCs w:val="17"/>
          <w:color w:val="auto"/>
        </w:rPr>
        <w:t>The federal research and development credit carryforwards expire beginning 2028 and California research and development credit carryforwards are indefinite.</w:t>
      </w:r>
    </w:p>
    <w:p>
      <w:pPr>
        <w:spacing w:after="0" w:line="113" w:lineRule="exact"/>
        <w:rPr>
          <w:sz w:val="20"/>
          <w:szCs w:val="20"/>
          <w:color w:val="auto"/>
        </w:rPr>
      </w:pPr>
    </w:p>
    <w:p>
      <w:pPr>
        <w:ind w:right="200" w:firstLine="309"/>
        <w:spacing w:after="0" w:line="262" w:lineRule="auto"/>
        <w:rPr>
          <w:sz w:val="20"/>
          <w:szCs w:val="20"/>
          <w:color w:val="auto"/>
        </w:rPr>
      </w:pPr>
      <w:r>
        <w:rPr>
          <w:rFonts w:ascii="Arial" w:cs="Arial" w:eastAsia="Arial" w:hAnsi="Arial"/>
          <w:sz w:val="17"/>
          <w:szCs w:val="17"/>
          <w:color w:val="auto"/>
        </w:rPr>
        <w:t>Internal Revenue Code section 382 places a limitation (the “Section 382 Limitation”) on the amount of taxable income that can be offset by net operating carryforwards after a change in control of a loss corporation. Generally, after a change in control, a loss corporation cannot deduct operating loss carryovers in excess of the Section 382 limitation. The Company has not performed an analysis to determine if a limitation applies and whether the limitation would cause the net operating losses to expire un-utilized.</w:t>
      </w:r>
    </w:p>
    <w:p>
      <w:pPr>
        <w:spacing w:after="0" w:line="126" w:lineRule="exact"/>
        <w:rPr>
          <w:sz w:val="20"/>
          <w:szCs w:val="20"/>
          <w:color w:val="auto"/>
        </w:rPr>
      </w:pPr>
    </w:p>
    <w:p>
      <w:pPr>
        <w:ind w:right="220" w:firstLine="309"/>
        <w:spacing w:after="0" w:line="266" w:lineRule="auto"/>
        <w:rPr>
          <w:sz w:val="20"/>
          <w:szCs w:val="20"/>
          <w:color w:val="auto"/>
        </w:rPr>
      </w:pPr>
      <w:r>
        <w:rPr>
          <w:rFonts w:ascii="Arial" w:cs="Arial" w:eastAsia="Arial" w:hAnsi="Arial"/>
          <w:sz w:val="17"/>
          <w:szCs w:val="17"/>
          <w:color w:val="auto"/>
        </w:rPr>
        <w:t>The Company files federal, state, and foreign income tax returns. The tax periods 2008 through 2022 remain open in most jurisdictions. In addition, any tax losses that were generated in prior years and carried forward may also be subject to examination by respective authorities. The Company is not currently under examination by federal, state or foreign income tax authorities.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309"/>
        <w:spacing w:after="0" w:line="266" w:lineRule="auto"/>
        <w:rPr>
          <w:sz w:val="20"/>
          <w:szCs w:val="20"/>
          <w:color w:val="auto"/>
        </w:rPr>
      </w:pPr>
      <w:r>
        <w:rPr>
          <w:rFonts w:ascii="Arial" w:cs="Arial" w:eastAsia="Arial" w:hAnsi="Arial"/>
          <w:sz w:val="17"/>
          <w:szCs w:val="17"/>
          <w:color w:val="auto"/>
        </w:rPr>
        <w:t>One of the provisions under the Tax Cuts and Jobs Act that became effective in tax years beginning after December 31, 2021 required the capitalization and amortization of research and experimental expenditures. The change in this US tax law did not have an impact on the Company's consolidated financial statements. The Company will continue to evaluate the impact of this tax law change on future periods.</w:t>
      </w:r>
    </w:p>
    <w:p>
      <w:pPr>
        <w:spacing w:after="0" w:line="124" w:lineRule="exact"/>
        <w:rPr>
          <w:sz w:val="20"/>
          <w:szCs w:val="20"/>
          <w:color w:val="auto"/>
        </w:rPr>
      </w:pPr>
    </w:p>
    <w:p>
      <w:pPr>
        <w:jc w:val="both"/>
        <w:ind w:firstLine="309"/>
        <w:spacing w:after="0" w:line="266" w:lineRule="auto"/>
        <w:rPr>
          <w:sz w:val="20"/>
          <w:szCs w:val="20"/>
          <w:color w:val="auto"/>
        </w:rPr>
      </w:pPr>
      <w:r>
        <w:rPr>
          <w:rFonts w:ascii="Arial" w:cs="Arial" w:eastAsia="Arial" w:hAnsi="Arial"/>
          <w:sz w:val="17"/>
          <w:szCs w:val="17"/>
          <w:color w:val="auto"/>
        </w:rPr>
        <w:t>On August 16, 2022, President Biden signed the Inflation Reduction Act of 2022 ( the Inflation Act) into law. The Inflation Act contains certain tax measures, including a corporate alternative minimum tax of 15% on some large corporations and an excise tax of 1% on corporate stock buy-backs. The various provisions of the Inflation Act did not have an impact on the Company’s consolidated financial statements and related notes.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reconciliation of the change in the unrecognized tax benefit during the year is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of year</w:t>
            </w:r>
          </w:p>
        </w:tc>
        <w:tc>
          <w:tcPr>
            <w:tcW w:w="960" w:type="dxa"/>
            <w:vAlign w:val="bottom"/>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Additions for tax positions related to:</w:t>
            </w: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Current year</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w:t>
            </w:r>
          </w:p>
        </w:tc>
      </w:tr>
      <w:tr>
        <w:trPr>
          <w:trHeight w:val="218"/>
        </w:trPr>
        <w:tc>
          <w:tcPr>
            <w:tcW w:w="8180" w:type="dxa"/>
            <w:vAlign w:val="bottom"/>
          </w:tcPr>
          <w:p>
            <w:pPr>
              <w:ind w:left="440"/>
              <w:spacing w:after="0"/>
              <w:rPr>
                <w:sz w:val="20"/>
                <w:szCs w:val="20"/>
                <w:color w:val="auto"/>
              </w:rPr>
            </w:pPr>
            <w:r>
              <w:rPr>
                <w:rFonts w:ascii="Arial" w:cs="Arial" w:eastAsia="Arial" w:hAnsi="Arial"/>
                <w:sz w:val="17"/>
                <w:szCs w:val="17"/>
                <w:color w:val="auto"/>
              </w:rPr>
              <w:t>Prior years</w:t>
            </w:r>
          </w:p>
        </w:tc>
        <w:tc>
          <w:tcPr>
            <w:tcW w:w="9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End of year</w:t>
            </w:r>
          </w:p>
        </w:tc>
        <w:tc>
          <w:tcPr>
            <w:tcW w:w="960" w:type="dxa"/>
            <w:vAlign w:val="bottom"/>
            <w:tcBorders>
              <w:top w:val="single" w:sz="8" w:color="auto"/>
              <w:bottom w:val="single" w:sz="8" w:color="auto"/>
            </w:tcBorders>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20" w:firstLine="309"/>
        <w:spacing w:after="0" w:line="266" w:lineRule="auto"/>
        <w:rPr>
          <w:sz w:val="20"/>
          <w:szCs w:val="20"/>
          <w:color w:val="auto"/>
        </w:rPr>
      </w:pPr>
      <w:r>
        <w:rPr>
          <w:rFonts w:ascii="Arial" w:cs="Arial" w:eastAsia="Arial" w:hAnsi="Arial"/>
          <w:sz w:val="17"/>
          <w:szCs w:val="17"/>
          <w:color w:val="auto"/>
        </w:rPr>
        <w:t>As of December 31, 2022, the Company had a total of $2.7 million of gross unrecognized tax benefits, none of which would affect the effective tax rate upon realization. The Company currently has a full valuation allowance against its U.S. net deferred tax assets which would impact the timing of the effective tax rate benefit should any of these uncertain tax positions be favorably settled in the future.</w:t>
      </w:r>
    </w:p>
    <w:p>
      <w:pPr>
        <w:spacing w:after="0" w:line="124" w:lineRule="exact"/>
        <w:rPr>
          <w:sz w:val="20"/>
          <w:szCs w:val="20"/>
          <w:color w:val="auto"/>
        </w:rPr>
      </w:pPr>
    </w:p>
    <w:p>
      <w:pPr>
        <w:ind w:right="320" w:firstLine="309"/>
        <w:spacing w:after="0" w:line="266" w:lineRule="auto"/>
        <w:rPr>
          <w:sz w:val="20"/>
          <w:szCs w:val="20"/>
          <w:color w:val="auto"/>
        </w:rPr>
      </w:pPr>
      <w:r>
        <w:rPr>
          <w:rFonts w:ascii="Arial" w:cs="Arial" w:eastAsia="Arial" w:hAnsi="Arial"/>
          <w:sz w:val="17"/>
          <w:szCs w:val="17"/>
          <w:color w:val="auto"/>
        </w:rPr>
        <w:t>The Company does not expect the unrecognized tax benefits to change significantly over the next 12 months. The Company will recognize interest and penalties accrued on any unrecognized tax benefits as a component of income tax expense. As of December 31, 2022, the Company has not accrued interest or penalties related to uncertain tax positions.</w:t>
      </w:r>
    </w:p>
    <w:p>
      <w:pPr>
        <w:spacing w:after="0" w:line="118"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9.</w:t>
      </w:r>
      <w:r>
        <w:rPr>
          <w:sz w:val="20"/>
          <w:szCs w:val="20"/>
          <w:color w:val="auto"/>
        </w:rPr>
        <w:tab/>
      </w:r>
      <w:r>
        <w:rPr>
          <w:rFonts w:ascii="Arial" w:cs="Arial" w:eastAsia="Arial" w:hAnsi="Arial"/>
          <w:sz w:val="15"/>
          <w:szCs w:val="15"/>
          <w:b w:val="1"/>
          <w:bCs w:val="1"/>
          <w:color w:val="auto"/>
        </w:rPr>
        <w:t>Net Loss Per Share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loss per share was determined as follows (in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8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(59,853)</w:t>
            </w: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Weighted-average common stock outstanding</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44,400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16,480</w:t>
            </w: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per share, basic and diluted</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right="360" w:firstLine="309"/>
        <w:spacing w:after="0" w:line="279" w:lineRule="auto"/>
        <w:rPr>
          <w:sz w:val="20"/>
          <w:szCs w:val="20"/>
          <w:color w:val="auto"/>
        </w:rPr>
      </w:pPr>
      <w:r>
        <w:rPr>
          <w:rFonts w:ascii="Arial" w:cs="Arial" w:eastAsia="Arial" w:hAnsi="Arial"/>
          <w:sz w:val="17"/>
          <w:szCs w:val="17"/>
          <w:color w:val="auto"/>
        </w:rPr>
        <w:t>The following potentially dilutive securities outstanding have been excluded from the computations of weighted-average shares outstanding because such securities have an antidilutive impact due to losses reported (in common stock equivalent shares, in thousands):</w:t>
      </w:r>
    </w:p>
    <w:p>
      <w:pPr>
        <w:spacing w:after="0" w:line="141"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r>
      <w:tr>
        <w:trPr>
          <w:trHeight w:val="219"/>
        </w:trPr>
        <w:tc>
          <w:tcPr>
            <w:tcW w:w="9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Common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6,365</w:t>
            </w:r>
          </w:p>
        </w:tc>
      </w:tr>
      <w:tr>
        <w:trPr>
          <w:trHeight w:val="218"/>
        </w:trPr>
        <w:tc>
          <w:tcPr>
            <w:tcW w:w="9140" w:type="dxa"/>
            <w:vAlign w:val="bottom"/>
            <w:gridSpan w:val="2"/>
          </w:tcPr>
          <w:p>
            <w:pPr>
              <w:ind w:left="20"/>
              <w:spacing w:after="0"/>
              <w:rPr>
                <w:sz w:val="20"/>
                <w:szCs w:val="20"/>
                <w:color w:val="auto"/>
              </w:rPr>
            </w:pPr>
            <w:r>
              <w:rPr>
                <w:rFonts w:ascii="Arial" w:cs="Arial" w:eastAsia="Arial" w:hAnsi="Arial"/>
                <w:sz w:val="17"/>
                <w:szCs w:val="17"/>
                <w:color w:val="auto"/>
              </w:rPr>
              <w:t>Restricted stock units</w:t>
            </w:r>
          </w:p>
        </w:tc>
        <w:tc>
          <w:tcPr>
            <w:tcW w:w="540" w:type="dxa"/>
            <w:vAlign w:val="bottom"/>
          </w:tcPr>
          <w:p>
            <w:pPr>
              <w:jc w:val="right"/>
              <w:spacing w:after="0"/>
              <w:rPr>
                <w:sz w:val="20"/>
                <w:szCs w:val="20"/>
                <w:color w:val="auto"/>
              </w:rPr>
            </w:pPr>
            <w:r>
              <w:rPr>
                <w:rFonts w:ascii="Arial" w:cs="Arial" w:eastAsia="Arial" w:hAnsi="Arial"/>
                <w:sz w:val="17"/>
                <w:szCs w:val="17"/>
                <w:color w:val="auto"/>
              </w:rPr>
              <w:t>742</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w:t>
            </w:r>
          </w:p>
        </w:tc>
        <w:tc>
          <w:tcPr>
            <w:tcW w:w="9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w:t>
            </w:r>
          </w:p>
        </w:tc>
      </w:tr>
      <w:tr>
        <w:trPr>
          <w:trHeight w:val="213"/>
        </w:trPr>
        <w:tc>
          <w:tcPr>
            <w:tcW w:w="9140" w:type="dxa"/>
            <w:vAlign w:val="bottom"/>
            <w:gridSpan w:val="2"/>
          </w:tcPr>
          <w:p>
            <w:pPr>
              <w:ind w:left="220"/>
              <w:spacing w:after="0"/>
              <w:rPr>
                <w:sz w:val="20"/>
                <w:szCs w:val="20"/>
                <w:color w:val="auto"/>
              </w:rPr>
            </w:pPr>
            <w:r>
              <w:rPr>
                <w:rFonts w:ascii="Arial" w:cs="Arial" w:eastAsia="Arial" w:hAnsi="Arial"/>
                <w:sz w:val="17"/>
                <w:szCs w:val="17"/>
                <w:color w:val="auto"/>
              </w:rPr>
              <w:t>Total</w:t>
            </w:r>
          </w:p>
        </w:tc>
        <w:tc>
          <w:tcPr>
            <w:tcW w:w="540" w:type="dxa"/>
            <w:vAlign w:val="bottom"/>
          </w:tcPr>
          <w:p>
            <w:pPr>
              <w:jc w:val="right"/>
              <w:spacing w:after="0"/>
              <w:rPr>
                <w:sz w:val="20"/>
                <w:szCs w:val="20"/>
                <w:color w:val="auto"/>
              </w:rPr>
            </w:pPr>
            <w:r>
              <w:rPr>
                <w:rFonts w:ascii="Arial" w:cs="Arial" w:eastAsia="Arial" w:hAnsi="Arial"/>
                <w:sz w:val="17"/>
                <w:szCs w:val="17"/>
                <w:color w:val="auto"/>
              </w:rPr>
              <w:t>6,205</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6,593</w:t>
            </w:r>
          </w:p>
        </w:tc>
      </w:tr>
      <w:tr>
        <w:trPr>
          <w:trHeight w:val="20"/>
        </w:trPr>
        <w:tc>
          <w:tcPr>
            <w:tcW w:w="8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Geographical Information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revenue disaggregated by type and geography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80" w:type="dxa"/>
            <w:vAlign w:val="bottom"/>
          </w:tcPr>
          <w:p>
            <w:pPr>
              <w:spacing w:after="0"/>
              <w:rPr>
                <w:sz w:val="15"/>
                <w:szCs w:val="15"/>
                <w:color w:val="auto"/>
              </w:rPr>
            </w:pPr>
          </w:p>
        </w:tc>
        <w:tc>
          <w:tcPr>
            <w:tcW w:w="25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Pr>
          <w:p>
            <w:pPr>
              <w:spacing w:after="0"/>
              <w:rPr>
                <w:sz w:val="15"/>
                <w:szCs w:val="15"/>
                <w:color w:val="auto"/>
              </w:rPr>
            </w:pPr>
          </w:p>
        </w:tc>
      </w:tr>
      <w:tr>
        <w:trPr>
          <w:trHeight w:val="24"/>
        </w:trPr>
        <w:tc>
          <w:tcPr>
            <w:tcW w:w="8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79"/>
        </w:trPr>
        <w:tc>
          <w:tcPr>
            <w:tcW w:w="81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r>
      <w:tr>
        <w:trPr>
          <w:trHeight w:val="206"/>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w:t>
            </w:r>
          </w:p>
        </w:tc>
        <w:tc>
          <w:tcPr>
            <w:tcW w:w="9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System sales and rentals</w:t>
            </w:r>
          </w:p>
        </w:tc>
        <w:tc>
          <w:tcPr>
            <w:tcW w:w="920" w:type="dxa"/>
            <w:vAlign w:val="bottom"/>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36,527</w:t>
            </w:r>
          </w:p>
        </w:tc>
        <w:tc>
          <w:tcPr>
            <w:tcW w:w="80" w:type="dxa"/>
            <w:vAlign w:val="bottom"/>
          </w:tcPr>
          <w:p>
            <w:pPr>
              <w:spacing w:after="0"/>
              <w:rPr>
                <w:sz w:val="18"/>
                <w:szCs w:val="18"/>
                <w:color w:val="auto"/>
              </w:rPr>
            </w:pPr>
          </w:p>
        </w:tc>
        <w:tc>
          <w:tcPr>
            <w:tcW w:w="920" w:type="dxa"/>
            <w:vAlign w:val="bottom"/>
          </w:tcPr>
          <w:p>
            <w:pPr>
              <w:jc w:val="right"/>
              <w:ind w:right="740"/>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92"/>
              </w:rPr>
              <w:t>19,375</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Handpieces and other consumables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28,543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8,893</w:t>
            </w:r>
          </w:p>
        </w:tc>
      </w:tr>
      <w:tr>
        <w:trPr>
          <w:trHeight w:val="218"/>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Service</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2,698</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w:t>
            </w:r>
          </w:p>
        </w:tc>
      </w:tr>
      <w:tr>
        <w:trPr>
          <w:trHeight w:val="213"/>
        </w:trPr>
        <w:tc>
          <w:tcPr>
            <w:tcW w:w="8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U.S. revenue</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67,768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28,948</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Outside of U.S.</w:t>
            </w: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System sales and rentals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3,201</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2,493</w:t>
            </w:r>
          </w:p>
        </w:tc>
      </w:tr>
      <w:tr>
        <w:trPr>
          <w:trHeight w:val="218"/>
        </w:trPr>
        <w:tc>
          <w:tcPr>
            <w:tcW w:w="8180" w:type="dxa"/>
            <w:vAlign w:val="bottom"/>
          </w:tcPr>
          <w:p>
            <w:pPr>
              <w:ind w:left="220"/>
              <w:spacing w:after="0"/>
              <w:rPr>
                <w:sz w:val="20"/>
                <w:szCs w:val="20"/>
                <w:color w:val="auto"/>
              </w:rPr>
            </w:pPr>
            <w:r>
              <w:rPr>
                <w:rFonts w:ascii="Arial" w:cs="Arial" w:eastAsia="Arial" w:hAnsi="Arial"/>
                <w:sz w:val="17"/>
                <w:szCs w:val="17"/>
                <w:color w:val="auto"/>
              </w:rPr>
              <w:t>Handpieces and other consumables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3,273</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2,634</w:t>
            </w:r>
          </w:p>
        </w:tc>
      </w:tr>
      <w:tr>
        <w:trPr>
          <w:trHeight w:val="220"/>
        </w:trPr>
        <w:tc>
          <w:tcPr>
            <w:tcW w:w="81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772</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w:t>
            </w:r>
          </w:p>
        </w:tc>
      </w:tr>
      <w:tr>
        <w:trPr>
          <w:trHeight w:val="211"/>
        </w:trPr>
        <w:tc>
          <w:tcPr>
            <w:tcW w:w="81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outside of U.S. revenue</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7,246</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5,525</w:t>
            </w:r>
          </w:p>
        </w:tc>
      </w:tr>
      <w:tr>
        <w:trPr>
          <w:trHeight w:val="238"/>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revenue</w:t>
            </w: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75,014</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34,473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the year ended December 31, 2022 and 2021, substantially all of the Company’s long-lived assets are held in the United States.</w:t>
      </w:r>
    </w:p>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 and Indemnifications</w:t>
      </w:r>
    </w:p>
    <w:p>
      <w:pPr>
        <w:spacing w:after="0" w:line="165" w:lineRule="exact"/>
        <w:rPr>
          <w:sz w:val="20"/>
          <w:szCs w:val="20"/>
          <w:color w:val="auto"/>
        </w:rPr>
      </w:pPr>
    </w:p>
    <w:p>
      <w:pPr>
        <w:ind w:right="40" w:firstLine="309"/>
        <w:spacing w:after="0" w:line="283" w:lineRule="auto"/>
        <w:rPr>
          <w:sz w:val="20"/>
          <w:szCs w:val="20"/>
          <w:color w:val="auto"/>
        </w:rPr>
      </w:pPr>
      <w:r>
        <w:rPr>
          <w:rFonts w:ascii="Arial" w:cs="Arial" w:eastAsia="Arial" w:hAnsi="Arial"/>
          <w:sz w:val="16"/>
          <w:szCs w:val="16"/>
          <w:color w:val="auto"/>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December 31, 2022, the Company does not have any material indemnification claims that were probable or reasonably possible and consequently has not recorded related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Leases</w:t>
      </w:r>
    </w:p>
    <w:p>
      <w:pPr>
        <w:spacing w:after="0" w:line="165" w:lineRule="exact"/>
        <w:rPr>
          <w:sz w:val="20"/>
          <w:szCs w:val="20"/>
          <w:color w:val="auto"/>
        </w:rPr>
      </w:pPr>
    </w:p>
    <w:p>
      <w:pPr>
        <w:ind w:right="200" w:firstLine="309"/>
        <w:spacing w:after="0" w:line="259" w:lineRule="auto"/>
        <w:rPr>
          <w:sz w:val="20"/>
          <w:szCs w:val="20"/>
          <w:color w:val="auto"/>
        </w:rPr>
      </w:pPr>
      <w:r>
        <w:rPr>
          <w:rFonts w:ascii="Arial" w:cs="Arial" w:eastAsia="Arial" w:hAnsi="Arial"/>
          <w:sz w:val="17"/>
          <w:szCs w:val="17"/>
          <w:color w:val="auto"/>
        </w:rPr>
        <w:t>In July 2013, the Company entered into a three-year lease agreement for its current facility located in Redwood City, California. In 2018, the Company expanded the lease space and extended the lease agreement through October 2023. In January 2023, the Company entered into an amendment to this lease that lease of 19,807 square feet of office space terminated on October 29, 2023, and lease of remaining 23,638 square feet is extended to terminate no later than January 31, 2024. The lease agreement provides for an escalation of rent payments each year and the Company records rent expense on a straight-line basis over the term of the lease. Rent is payable monthly.</w:t>
      </w:r>
    </w:p>
    <w:p>
      <w:pPr>
        <w:spacing w:after="0" w:line="131" w:lineRule="exact"/>
        <w:rPr>
          <w:sz w:val="20"/>
          <w:szCs w:val="20"/>
          <w:color w:val="auto"/>
        </w:rPr>
      </w:pPr>
    </w:p>
    <w:p>
      <w:pPr>
        <w:ind w:right="20" w:firstLine="309"/>
        <w:spacing w:after="0" w:line="257" w:lineRule="auto"/>
        <w:rPr>
          <w:sz w:val="20"/>
          <w:szCs w:val="20"/>
          <w:color w:val="auto"/>
        </w:rPr>
      </w:pPr>
      <w:r>
        <w:rPr>
          <w:rFonts w:ascii="Arial" w:cs="Arial" w:eastAsia="Arial" w:hAnsi="Arial"/>
          <w:sz w:val="17"/>
          <w:szCs w:val="17"/>
          <w:color w:val="auto"/>
        </w:rPr>
        <w:t>In December 2021, the Company entered into a lease for two existing buildings, comprising approximately 158,221 square feet of space, located in San Jose, California. The lease commenced in July 2022, and will continue for 122 months following thereafter, with two five year options to extend the term of the lease. The Lease provides for annual base rent of $4.3 million for the first year, which increases on a yearly basis up to $5.5 million for the tenth year, for an aggregate of $49.2 million. Under the terms of the lease, the Company will receive an allowance of up to $7.9 million from the landlord to be applied to the Company’s construction of tenant improvements following the landlord’s delivery of the two buildings to the Company. During the year ended December 31, 2022, the Company recorded both an right-of-use asset and liability of $22.7 million related to the lease. As of December 31, 2022, lease payments have not yet commenced for the lease.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supplemental lease information: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060" w:type="dxa"/>
            <w:vAlign w:val="bottom"/>
            <w:gridSpan w:val="3"/>
          </w:tcPr>
          <w:p>
            <w:pPr>
              <w:ind w:left="780"/>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3820" w:type="dxa"/>
            <w:vAlign w:val="bottom"/>
          </w:tcPr>
          <w:p>
            <w:pPr>
              <w:spacing w:after="0"/>
              <w:rPr>
                <w:sz w:val="2"/>
                <w:szCs w:val="2"/>
                <w:color w:val="auto"/>
              </w:rPr>
            </w:pPr>
          </w:p>
        </w:tc>
        <w:tc>
          <w:tcPr>
            <w:tcW w:w="5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79"/>
        </w:trPr>
        <w:tc>
          <w:tcPr>
            <w:tcW w:w="3820" w:type="dxa"/>
            <w:vAlign w:val="bottom"/>
            <w:tcBorders>
              <w:bottom w:val="single" w:sz="8" w:color="CCEEFF"/>
            </w:tcBorders>
          </w:tcPr>
          <w:p>
            <w:pPr>
              <w:spacing w:after="0"/>
              <w:rPr>
                <w:sz w:val="15"/>
                <w:szCs w:val="15"/>
                <w:color w:val="auto"/>
              </w:rPr>
            </w:pPr>
          </w:p>
        </w:tc>
        <w:tc>
          <w:tcPr>
            <w:tcW w:w="4360" w:type="dxa"/>
            <w:vAlign w:val="bottom"/>
            <w:tcBorders>
              <w:bottom w:val="single" w:sz="8" w:color="CCEEFF"/>
            </w:tcBorders>
          </w:tcPr>
          <w:p>
            <w:pPr>
              <w:spacing w:after="0"/>
              <w:rPr>
                <w:sz w:val="15"/>
                <w:szCs w:val="15"/>
                <w:color w:val="auto"/>
              </w:rPr>
            </w:pPr>
          </w:p>
        </w:tc>
        <w:tc>
          <w:tcPr>
            <w:tcW w:w="1500" w:type="dxa"/>
            <w:vAlign w:val="bottom"/>
            <w:tcBorders>
              <w:top w:val="single" w:sz="8" w:color="auto"/>
              <w:bottom w:val="single" w:sz="8" w:color="auto"/>
            </w:tcBorders>
          </w:tcPr>
          <w:p>
            <w:pPr>
              <w:jc w:val="right"/>
              <w:ind w:right="54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r>
      <w:tr>
        <w:trPr>
          <w:trHeight w:val="219"/>
        </w:trPr>
        <w:tc>
          <w:tcPr>
            <w:tcW w:w="3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lease term</w:t>
            </w:r>
          </w:p>
        </w:tc>
        <w:tc>
          <w:tcPr>
            <w:tcW w:w="43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9.4 years</w:t>
            </w:r>
          </w:p>
        </w:tc>
        <w:tc>
          <w:tcPr>
            <w:tcW w:w="14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1.8 years</w:t>
            </w:r>
          </w:p>
        </w:tc>
      </w:tr>
      <w:tr>
        <w:trPr>
          <w:trHeight w:val="218"/>
        </w:trPr>
        <w:tc>
          <w:tcPr>
            <w:tcW w:w="382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5860" w:type="dxa"/>
            <w:vAlign w:val="bottom"/>
            <w:gridSpan w:val="2"/>
          </w:tcPr>
          <w:p>
            <w:pPr>
              <w:jc w:val="right"/>
              <w:ind w:right="506"/>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18"/>
                <w:szCs w:val="18"/>
                <w:color w:val="auto"/>
              </w:rPr>
            </w:pPr>
          </w:p>
        </w:tc>
        <w:tc>
          <w:tcPr>
            <w:tcW w:w="1480" w:type="dxa"/>
            <w:vAlign w:val="bottom"/>
          </w:tcPr>
          <w:p>
            <w:pPr>
              <w:jc w:val="right"/>
              <w:ind w:right="440"/>
              <w:spacing w:after="0"/>
              <w:rPr>
                <w:sz w:val="20"/>
                <w:szCs w:val="20"/>
                <w:color w:val="auto"/>
              </w:rPr>
            </w:pPr>
            <w:r>
              <w:rPr>
                <w:rFonts w:ascii="Arial" w:cs="Arial" w:eastAsia="Arial" w:hAnsi="Arial"/>
                <w:sz w:val="17"/>
                <w:szCs w:val="17"/>
                <w:color w:val="auto"/>
              </w:rPr>
              <w:t>10.8%</w:t>
            </w:r>
          </w:p>
        </w:tc>
      </w:tr>
      <w:tr>
        <w:trPr>
          <w:trHeight w:val="851"/>
        </w:trPr>
        <w:tc>
          <w:tcPr>
            <w:tcW w:w="3820" w:type="dxa"/>
            <w:vAlign w:val="bottom"/>
          </w:tcPr>
          <w:p>
            <w:pPr>
              <w:spacing w:after="0"/>
              <w:rPr>
                <w:sz w:val="24"/>
                <w:szCs w:val="24"/>
                <w:color w:val="auto"/>
              </w:rPr>
            </w:pPr>
          </w:p>
        </w:tc>
        <w:tc>
          <w:tcPr>
            <w:tcW w:w="5940" w:type="dxa"/>
            <w:vAlign w:val="bottom"/>
            <w:gridSpan w:val="3"/>
          </w:tcPr>
          <w:p>
            <w:pPr>
              <w:ind w:left="1640"/>
              <w:spacing w:after="0"/>
              <w:rPr>
                <w:sz w:val="20"/>
                <w:szCs w:val="20"/>
                <w:color w:val="auto"/>
              </w:rPr>
            </w:pPr>
            <w:r>
              <w:rPr>
                <w:rFonts w:ascii="Arial" w:cs="Arial" w:eastAsia="Arial" w:hAnsi="Arial"/>
                <w:sz w:val="17"/>
                <w:szCs w:val="17"/>
                <w:color w:val="auto"/>
              </w:rPr>
              <w:t>F-25</w:t>
            </w:r>
          </w:p>
        </w:tc>
        <w:tc>
          <w:tcPr>
            <w:tcW w:w="1480" w:type="dxa"/>
            <w:vAlign w:val="bottom"/>
          </w:tcPr>
          <w:p>
            <w:pPr>
              <w:spacing w:after="0"/>
              <w:rPr>
                <w:sz w:val="24"/>
                <w:szCs w:val="24"/>
                <w:color w:val="auto"/>
              </w:rPr>
            </w:pPr>
          </w:p>
        </w:tc>
      </w:tr>
      <w:tr>
        <w:trPr>
          <w:trHeight w:val="110"/>
        </w:trPr>
        <w:tc>
          <w:tcPr>
            <w:tcW w:w="3820" w:type="dxa"/>
            <w:vAlign w:val="bottom"/>
            <w:tcBorders>
              <w:bottom w:val="single" w:sz="8" w:color="9A9A9A"/>
            </w:tcBorders>
          </w:tcPr>
          <w:p>
            <w:pPr>
              <w:spacing w:after="0"/>
              <w:rPr>
                <w:sz w:val="9"/>
                <w:szCs w:val="9"/>
                <w:color w:val="auto"/>
              </w:rPr>
            </w:pPr>
          </w:p>
        </w:tc>
        <w:tc>
          <w:tcPr>
            <w:tcW w:w="43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80" w:firstLine="309"/>
        <w:spacing w:after="0" w:line="279" w:lineRule="auto"/>
        <w:rPr>
          <w:sz w:val="20"/>
          <w:szCs w:val="20"/>
          <w:color w:val="auto"/>
        </w:rPr>
      </w:pPr>
      <w:r>
        <w:rPr>
          <w:rFonts w:ascii="Arial" w:cs="Arial" w:eastAsia="Arial" w:hAnsi="Arial"/>
          <w:sz w:val="17"/>
          <w:szCs w:val="17"/>
          <w:color w:val="auto"/>
        </w:rPr>
        <w:t>Rent expense recognized under the leases, including additional rent charges for utilities, parking, maintenance and real estate taxes, was $5.1 million and $2.7 million for the years ended December 31, 2022 and 2021, respectively.</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annual operating lease and debt repayments are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Minimum Lease</w:t>
            </w:r>
          </w:p>
        </w:tc>
        <w:tc>
          <w:tcPr>
            <w:tcW w:w="180" w:type="dxa"/>
            <w:vAlign w:val="bottom"/>
          </w:tcPr>
          <w:p>
            <w:pPr>
              <w:spacing w:after="0"/>
              <w:rPr>
                <w:sz w:val="14"/>
                <w:szCs w:val="14"/>
                <w:color w:val="auto"/>
              </w:rPr>
            </w:pPr>
          </w:p>
        </w:tc>
        <w:tc>
          <w:tcPr>
            <w:tcW w:w="13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1"/>
              </w:rPr>
              <w:t>Debt Repayments</w:t>
            </w:r>
          </w:p>
        </w:tc>
        <w:tc>
          <w:tcPr>
            <w:tcW w:w="8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114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Payments</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gridSpan w:val="3"/>
            <w:shd w:val="clear" w:color="auto" w:fill="CCEEFF"/>
          </w:tcPr>
          <w:p>
            <w:pPr>
              <w:ind w:left="1080"/>
              <w:spacing w:after="0"/>
              <w:rPr>
                <w:sz w:val="20"/>
                <w:szCs w:val="20"/>
                <w:color w:val="auto"/>
              </w:rPr>
            </w:pPr>
            <w:r>
              <w:rPr>
                <w:rFonts w:ascii="Arial" w:cs="Arial" w:eastAsia="Arial" w:hAnsi="Arial"/>
                <w:sz w:val="17"/>
                <w:szCs w:val="17"/>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5,610</w:t>
            </w: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4,183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4,183</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8,630</w:t>
            </w: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4,426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30,426</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26,475</w:t>
            </w: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27,250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3"/>
          </w:tcPr>
          <w:p>
            <w:pPr>
              <w:jc w:val="right"/>
              <w:ind w:right="50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27,250</w:t>
            </w:r>
          </w:p>
        </w:tc>
        <w:tc>
          <w:tcPr>
            <w:tcW w:w="0" w:type="dxa"/>
            <w:vAlign w:val="bottom"/>
          </w:tcPr>
          <w:p>
            <w:pPr>
              <w:spacing w:after="0"/>
              <w:rPr>
                <w:sz w:val="1"/>
                <w:szCs w:val="1"/>
                <w:color w:val="auto"/>
              </w:rPr>
            </w:pPr>
          </w:p>
        </w:tc>
      </w:tr>
      <w:tr>
        <w:trPr>
          <w:trHeight w:val="21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minimum payments</w:t>
            </w: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50,574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52,000</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102,574</w:t>
            </w:r>
          </w:p>
        </w:tc>
        <w:tc>
          <w:tcPr>
            <w:tcW w:w="0" w:type="dxa"/>
            <w:vAlign w:val="bottom"/>
          </w:tcPr>
          <w:p>
            <w:pPr>
              <w:spacing w:after="0"/>
              <w:rPr>
                <w:sz w:val="1"/>
                <w:szCs w:val="1"/>
                <w:color w:val="auto"/>
              </w:rPr>
            </w:pPr>
          </w:p>
        </w:tc>
      </w:tr>
      <w:tr>
        <w:trPr>
          <w:trHeight w:val="218"/>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3"/>
              </w:rPr>
              <w:t>Less: amount representing interest/unamortized debt discount/tenant improvement allowance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(24,470)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(787)</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(25,257)</w:t>
            </w:r>
          </w:p>
        </w:tc>
        <w:tc>
          <w:tcPr>
            <w:tcW w:w="0" w:type="dxa"/>
            <w:vAlign w:val="bottom"/>
          </w:tcPr>
          <w:p>
            <w:pPr>
              <w:spacing w:after="0"/>
              <w:rPr>
                <w:sz w:val="1"/>
                <w:szCs w:val="1"/>
                <w:color w:val="auto"/>
              </w:rPr>
            </w:pP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future payments</w:t>
            </w:r>
          </w:p>
        </w:tc>
        <w:tc>
          <w:tcPr>
            <w:tcW w:w="1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26,104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51,213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77,317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2022 and 2021, the Company’s security deposit is in the form of, and recorded as,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r>
        <w:rPr>
          <w:rFonts w:ascii="Arial" w:cs="Arial" w:eastAsia="Arial" w:hAnsi="Arial"/>
          <w:sz w:val="17"/>
          <w:szCs w:val="17"/>
          <w:b w:val="1"/>
          <w:bCs w:val="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65" w:lineRule="exact"/>
        <w:rPr>
          <w:sz w:val="20"/>
          <w:szCs w:val="20"/>
          <w:color w:val="auto"/>
        </w:rPr>
      </w:pPr>
    </w:p>
    <w:p>
      <w:pPr>
        <w:ind w:right="80" w:firstLine="3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have evaluated the effectiveness of our disclosure controls and procedures (as defined in Rules 13a-15(e) and 15d-15(e) under the Exchange Act) as of the end of the period covered by this Annual Report on Form 10-K. These disclosure controls and procedures are designed to provide reasonable assurance that information required to be disclosed in the reports we file or submit under the Exchange Act is recorded, processed, summarized and reported within the time periods specified in the SEC rules and forms, and that such information is accumulated and communicated to our management, including our CEO and our CFO, to allow timely decisions regarding required disclosures. Based on that evaluation, our Chief Executive Officer and our Chief Financial Officer have concluded that, as of December 31, 2022, our disclosure controls and procedures were effective at the reasonable assurance level.</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Company's CEO and CFO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Our management, with the participation of our CEO and our CFO, assessed the effectiveness of our internal control over financial reporting as of December 31, 2022.</w:t>
      </w:r>
    </w:p>
    <w:p>
      <w:pPr>
        <w:spacing w:after="0" w:line="117" w:lineRule="exact"/>
        <w:rPr>
          <w:sz w:val="20"/>
          <w:szCs w:val="20"/>
          <w:color w:val="auto"/>
        </w:rPr>
      </w:pPr>
    </w:p>
    <w:p>
      <w:pPr>
        <w:ind w:right="20" w:firstLine="309"/>
        <w:spacing w:after="0" w:line="259" w:lineRule="auto"/>
        <w:rPr>
          <w:sz w:val="20"/>
          <w:szCs w:val="20"/>
          <w:color w:val="auto"/>
        </w:rPr>
      </w:pPr>
      <w:r>
        <w:rPr>
          <w:rFonts w:ascii="Arial" w:cs="Arial" w:eastAsia="Arial" w:hAnsi="Arial"/>
          <w:sz w:val="17"/>
          <w:szCs w:val="17"/>
          <w:color w:val="auto"/>
        </w:rPr>
        <w:t xml:space="preserve">Management assessed the Company’s internal control over financial reporting as of December 31, 2022 using the criteria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(2013) issued by the Committee of Sponsoring Organizations of the Treadway Commission. Based on this assessment, our management has concluded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as of December 31, 2022, our internal control over financial reporting was effective, based on these criteria. PricewaterhouseCoopers LLP, an independent registered public accounting firm, audited the effectiveness of the Company's internal control over financial reporting as of December 31, 2022, as stated within their report which is included herein.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65" w:lineRule="exact"/>
        <w:rPr>
          <w:sz w:val="20"/>
          <w:szCs w:val="20"/>
          <w:color w:val="auto"/>
        </w:rPr>
      </w:pPr>
    </w:p>
    <w:p>
      <w:pPr>
        <w:ind w:firstLine="309"/>
        <w:spacing w:after="0" w:line="31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Limitations on Effectiveness of Disclosure Controls and Procedures</w:t>
      </w:r>
    </w:p>
    <w:p>
      <w:pPr>
        <w:spacing w:after="0" w:line="165" w:lineRule="exact"/>
        <w:rPr>
          <w:sz w:val="20"/>
          <w:szCs w:val="20"/>
          <w:color w:val="auto"/>
        </w:rPr>
      </w:pPr>
    </w:p>
    <w:p>
      <w:pPr>
        <w:ind w:right="20" w:firstLine="309"/>
        <w:spacing w:after="0" w:line="299" w:lineRule="auto"/>
        <w:rPr>
          <w:sz w:val="20"/>
          <w:szCs w:val="20"/>
          <w:color w:val="auto"/>
        </w:rPr>
      </w:pPr>
      <w:r>
        <w:rPr>
          <w:rFonts w:ascii="Arial" w:cs="Arial" w:eastAsia="Arial" w:hAnsi="Arial"/>
          <w:sz w:val="15"/>
          <w:szCs w:val="15"/>
          <w:color w:val="auto"/>
        </w:rPr>
        <w:t>A system of internal control over financial reporting is intended to provide reasonable assurance regarding the reliability of financial reporting and the preparation of financial statements in accordance with GAAP and no control system, no matter how well designed and operated, can provide absolute assurance. The design of any control system is based in part upon certain assumptions about the likelihood of future events, and there can be no assurance that any design will succeed in achieving its stated goals under all potential future conditions. Because of its inherent limitations, internal control over financial reporting may not prevent or detect financial statement errors and misstatements. Also, projection of any evaluation of effectiveness to future periods is subject to the risk that controls may become inadequate because of changes in conditions or that the degree of compliance with the policies or procedures may deteriorate.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III</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1" w:lineRule="exact"/>
        <w:rPr>
          <w:sz w:val="20"/>
          <w:szCs w:val="20"/>
          <w:color w:val="auto"/>
        </w:rPr>
      </w:pPr>
    </w:p>
    <w:p>
      <w:pPr>
        <w:ind w:right="420" w:firstLine="309"/>
        <w:spacing w:after="0" w:line="266" w:lineRule="auto"/>
        <w:rPr>
          <w:sz w:val="20"/>
          <w:szCs w:val="20"/>
          <w:color w:val="auto"/>
        </w:rPr>
      </w:pPr>
      <w:r>
        <w:rPr>
          <w:rFonts w:ascii="Arial" w:cs="Arial" w:eastAsia="Arial" w:hAnsi="Arial"/>
          <w:sz w:val="17"/>
          <w:szCs w:val="17"/>
          <w:color w:val="auto"/>
        </w:rPr>
        <w:t>The information required by this Item concerning our directors and executive officers is incorporated by reference to the sections of our Proxy Statement under the headings “Proposal 1 — Election of Directors,” “Board Committees and Meetings,” “Stockholder Communications with the Board of Directors,” “Management” and if applicable, “Delinquent Section 16(a) Reports.”</w:t>
      </w:r>
    </w:p>
    <w:p>
      <w:pPr>
        <w:spacing w:after="0" w:line="124" w:lineRule="exact"/>
        <w:rPr>
          <w:sz w:val="20"/>
          <w:szCs w:val="20"/>
          <w:color w:val="auto"/>
        </w:rPr>
      </w:pPr>
    </w:p>
    <w:p>
      <w:pPr>
        <w:ind w:firstLine="309"/>
        <w:spacing w:after="0" w:line="259" w:lineRule="auto"/>
        <w:rPr>
          <w:sz w:val="20"/>
          <w:szCs w:val="20"/>
          <w:color w:val="auto"/>
        </w:rPr>
      </w:pPr>
      <w:r>
        <w:rPr>
          <w:rFonts w:ascii="Arial" w:cs="Arial" w:eastAsia="Arial" w:hAnsi="Arial"/>
          <w:sz w:val="17"/>
          <w:szCs w:val="17"/>
          <w:color w:val="auto"/>
        </w:rPr>
        <w:t>Our written Code of Ethics applies to all of our directors and employees, including our executive officers, including without limitation our principal executive officer, principal financial officer, principal accounting officer or controller or persons performing similar functions. The Code of Ethics is available on our website at procept-biorobotics.com in the Investors section under “Corporate Governance.” Changes to or waivers of the Code of Ethics will be disclosed on the same website. We intend to satisfy the disclosure requirement under Item 5.05 of Form 8-K regarding any amendment to, or waiver of, any provision of the Code of Ethics by disclosing such information on the same website.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1" w:lineRule="exact"/>
        <w:rPr>
          <w:sz w:val="20"/>
          <w:szCs w:val="20"/>
          <w:color w:val="auto"/>
        </w:rPr>
      </w:pPr>
    </w:p>
    <w:p>
      <w:pPr>
        <w:ind w:right="420" w:firstLine="309"/>
        <w:spacing w:after="0" w:line="279" w:lineRule="auto"/>
        <w:rPr>
          <w:sz w:val="20"/>
          <w:szCs w:val="20"/>
          <w:color w:val="auto"/>
        </w:rPr>
      </w:pPr>
      <w:r>
        <w:rPr>
          <w:rFonts w:ascii="Arial" w:cs="Arial" w:eastAsia="Arial" w:hAnsi="Arial"/>
          <w:sz w:val="17"/>
          <w:szCs w:val="17"/>
          <w:color w:val="auto"/>
        </w:rPr>
        <w:t>The information required by this Item is incorporated by reference to the sections of the Proxy Statement under the headings “Executive Compensation,” “Compensation Committee Interlocks and Insider Participation” and “Compensation of Non-Employee Board Members.”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 and Management and Related Stockholder Matters</w:t>
      </w:r>
    </w:p>
    <w:p>
      <w:pPr>
        <w:spacing w:after="0" w:line="171" w:lineRule="exact"/>
        <w:rPr>
          <w:sz w:val="20"/>
          <w:szCs w:val="20"/>
          <w:color w:val="auto"/>
        </w:rPr>
      </w:pPr>
    </w:p>
    <w:p>
      <w:pPr>
        <w:ind w:right="140" w:firstLine="309"/>
        <w:spacing w:after="0" w:line="279" w:lineRule="auto"/>
        <w:rPr>
          <w:sz w:val="20"/>
          <w:szCs w:val="20"/>
          <w:color w:val="auto"/>
        </w:rPr>
      </w:pPr>
      <w:r>
        <w:rPr>
          <w:rFonts w:ascii="Arial" w:cs="Arial" w:eastAsia="Arial" w:hAnsi="Arial"/>
          <w:sz w:val="17"/>
          <w:szCs w:val="17"/>
          <w:color w:val="auto"/>
        </w:rPr>
        <w:t>The information required by this Item is incorporated by reference to the sections of the Proxy Statement under the headings “Security Ownership of Certain Beneficial Owners and Management” and “Securities Authorized for Issuance under Equity Compensation Plans.”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Party Transactions</w:t>
      </w:r>
    </w:p>
    <w:p>
      <w:pPr>
        <w:spacing w:after="0" w:line="171" w:lineRule="exact"/>
        <w:rPr>
          <w:sz w:val="20"/>
          <w:szCs w:val="20"/>
          <w:color w:val="auto"/>
        </w:rPr>
      </w:pPr>
    </w:p>
    <w:p>
      <w:pPr>
        <w:ind w:right="500" w:firstLine="309"/>
        <w:spacing w:after="0" w:line="279" w:lineRule="auto"/>
        <w:rPr>
          <w:sz w:val="20"/>
          <w:szCs w:val="20"/>
          <w:color w:val="auto"/>
        </w:rPr>
      </w:pPr>
      <w:r>
        <w:rPr>
          <w:rFonts w:ascii="Arial" w:cs="Arial" w:eastAsia="Arial" w:hAnsi="Arial"/>
          <w:sz w:val="17"/>
          <w:szCs w:val="17"/>
          <w:color w:val="auto"/>
        </w:rPr>
        <w:t>The information required by this Item is incorporated by reference to the sections of the Proxy Statement under the headings “Proposal 1 — Election of Directors” and “Certain Relationships and Related Party Transactions.”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71" w:lineRule="exact"/>
        <w:rPr>
          <w:sz w:val="20"/>
          <w:szCs w:val="20"/>
          <w:color w:val="auto"/>
        </w:rPr>
      </w:pPr>
    </w:p>
    <w:p>
      <w:pPr>
        <w:ind w:right="280" w:firstLine="309"/>
        <w:spacing w:after="0" w:line="279" w:lineRule="auto"/>
        <w:rPr>
          <w:sz w:val="20"/>
          <w:szCs w:val="20"/>
          <w:color w:val="auto"/>
        </w:rPr>
      </w:pPr>
      <w:r>
        <w:rPr>
          <w:rFonts w:ascii="Arial" w:cs="Arial" w:eastAsia="Arial" w:hAnsi="Arial"/>
          <w:sz w:val="17"/>
          <w:szCs w:val="17"/>
          <w:color w:val="auto"/>
        </w:rPr>
        <w:t>The information required by this Item is incorporated by reference to the section of the Proxy Statement under the heading “Principal Accountant Fees and Services.”</w:t>
      </w:r>
    </w:p>
    <w:p>
      <w:pPr>
        <w:spacing w:after="0" w:line="113" w:lineRule="exact"/>
        <w:rPr>
          <w:sz w:val="20"/>
          <w:szCs w:val="20"/>
          <w:color w:val="auto"/>
        </w:rPr>
      </w:pPr>
    </w:p>
    <w:p>
      <w:pPr>
        <w:ind w:right="120" w:firstLine="309"/>
        <w:spacing w:after="0" w:line="279" w:lineRule="auto"/>
        <w:rPr>
          <w:sz w:val="20"/>
          <w:szCs w:val="20"/>
          <w:color w:val="auto"/>
        </w:rPr>
      </w:pPr>
      <w:r>
        <w:rPr>
          <w:rFonts w:ascii="Arial" w:cs="Arial" w:eastAsia="Arial" w:hAnsi="Arial"/>
          <w:sz w:val="17"/>
          <w:szCs w:val="17"/>
          <w:color w:val="auto"/>
        </w:rPr>
        <w:t>With the exception of the information specifically incorporated by reference in Part III to this Annual Report from our Proxy Statement, our Proxy Statement shall not be deemed to be filed as part of this report.</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IV</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(a)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9280" w:type="dxa"/>
            <w:vAlign w:val="bottom"/>
            <w:gridSpan w:val="21"/>
          </w:tcPr>
          <w:p>
            <w:pPr>
              <w:spacing w:after="0"/>
              <w:rPr>
                <w:sz w:val="20"/>
                <w:szCs w:val="20"/>
                <w:color w:val="auto"/>
              </w:rPr>
            </w:pPr>
            <w:r>
              <w:rPr>
                <w:rFonts w:ascii="Arial" w:cs="Arial" w:eastAsia="Arial" w:hAnsi="Arial"/>
                <w:sz w:val="14"/>
                <w:szCs w:val="14"/>
                <w:b w:val="1"/>
                <w:bCs w:val="1"/>
                <w:color w:val="auto"/>
              </w:rPr>
              <w:t>Exhibit Description</w:t>
            </w:r>
          </w:p>
        </w:tc>
      </w:tr>
      <w:tr>
        <w:trPr>
          <w:trHeight w:val="24"/>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73"/>
        </w:trPr>
        <w:tc>
          <w:tcPr>
            <w:tcW w:w="1240" w:type="dxa"/>
            <w:vAlign w:val="bottom"/>
          </w:tcPr>
          <w:p>
            <w:pPr>
              <w:jc w:val="center"/>
              <w:spacing w:after="0" w:line="173" w:lineRule="exact"/>
              <w:rPr>
                <w:sz w:val="20"/>
                <w:szCs w:val="20"/>
                <w:color w:val="auto"/>
              </w:rPr>
            </w:pPr>
            <w:r>
              <w:rPr>
                <w:rFonts w:ascii="Arial" w:cs="Arial" w:eastAsia="Arial" w:hAnsi="Arial"/>
                <w:sz w:val="17"/>
                <w:szCs w:val="17"/>
                <w:color w:val="auto"/>
                <w:w w:val="84"/>
              </w:rPr>
              <w:t>3.1</w:t>
            </w:r>
          </w:p>
        </w:tc>
        <w:tc>
          <w:tcPr>
            <w:tcW w:w="100" w:type="dxa"/>
            <w:vAlign w:val="bottom"/>
          </w:tcPr>
          <w:p>
            <w:pPr>
              <w:spacing w:after="0"/>
              <w:rPr>
                <w:sz w:val="15"/>
                <w:szCs w:val="15"/>
                <w:color w:val="auto"/>
              </w:rPr>
            </w:pPr>
          </w:p>
        </w:tc>
        <w:tc>
          <w:tcPr>
            <w:tcW w:w="9280" w:type="dxa"/>
            <w:vAlign w:val="bottom"/>
            <w:gridSpan w:val="21"/>
          </w:tcPr>
          <w:p>
            <w:pPr>
              <w:spacing w:after="0" w:line="173" w:lineRule="exact"/>
              <w:rPr>
                <w:rFonts w:ascii="Arial" w:cs="Arial" w:eastAsia="Arial" w:hAnsi="Arial"/>
                <w:sz w:val="17"/>
                <w:szCs w:val="17"/>
                <w:color w:val="0000FF"/>
                <w:w w:val="95"/>
              </w:rPr>
            </w:pPr>
            <w:hyperlink r:id="rId141">
              <w:r>
                <w:rPr>
                  <w:rFonts w:ascii="Arial" w:cs="Arial" w:eastAsia="Arial" w:hAnsi="Arial"/>
                  <w:sz w:val="17"/>
                  <w:szCs w:val="17"/>
                  <w:color w:val="0000FF"/>
                  <w:w w:val="95"/>
                </w:rPr>
                <w:t xml:space="preserve">Amended and Restated Certificate of Incorporation </w:t>
              </w:r>
            </w:hyperlink>
            <w:r>
              <w:rPr>
                <w:rFonts w:ascii="Arial" w:cs="Arial" w:eastAsia="Arial" w:hAnsi="Arial"/>
                <w:sz w:val="17"/>
                <w:szCs w:val="17"/>
                <w:color w:val="000000"/>
                <w:w w:val="95"/>
              </w:rPr>
              <w:t>(incorporated</w:t>
            </w:r>
            <w:r>
              <w:rPr>
                <w:rFonts w:ascii="Arial" w:cs="Arial" w:eastAsia="Arial" w:hAnsi="Arial"/>
                <w:sz w:val="17"/>
                <w:szCs w:val="17"/>
                <w:color w:val="0000FF"/>
                <w:w w:val="95"/>
              </w:rPr>
              <w:t xml:space="preserve"> </w:t>
            </w:r>
            <w:r>
              <w:rPr>
                <w:rFonts w:ascii="Arial" w:cs="Arial" w:eastAsia="Arial" w:hAnsi="Arial"/>
                <w:sz w:val="17"/>
                <w:szCs w:val="17"/>
                <w:color w:val="000000"/>
                <w:w w:val="95"/>
              </w:rPr>
              <w:t>by reference to Exhibit 3.1 to the registrant’s Current Report on</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80" w:type="dxa"/>
            <w:vAlign w:val="bottom"/>
            <w:gridSpan w:val="21"/>
          </w:tcPr>
          <w:p>
            <w:pPr>
              <w:spacing w:after="0"/>
              <w:rPr>
                <w:sz w:val="20"/>
                <w:szCs w:val="20"/>
                <w:color w:val="auto"/>
              </w:rPr>
            </w:pPr>
            <w:r>
              <w:rPr>
                <w:rFonts w:ascii="Arial" w:cs="Arial" w:eastAsia="Arial" w:hAnsi="Arial"/>
                <w:sz w:val="17"/>
                <w:szCs w:val="17"/>
                <w:color w:val="auto"/>
              </w:rPr>
              <w:t>Form 8-K (File No. 001-40797) filed on September 21, 2021)</w:t>
            </w:r>
          </w:p>
        </w:tc>
      </w:tr>
      <w:tr>
        <w:trPr>
          <w:trHeight w:val="337"/>
        </w:trPr>
        <w:tc>
          <w:tcPr>
            <w:tcW w:w="1240" w:type="dxa"/>
            <w:vAlign w:val="bottom"/>
          </w:tcPr>
          <w:p>
            <w:pPr>
              <w:jc w:val="center"/>
              <w:spacing w:after="0"/>
              <w:rPr>
                <w:sz w:val="20"/>
                <w:szCs w:val="20"/>
                <w:color w:val="auto"/>
              </w:rPr>
            </w:pPr>
            <w:r>
              <w:rPr>
                <w:rFonts w:ascii="Arial" w:cs="Arial" w:eastAsia="Arial" w:hAnsi="Arial"/>
                <w:sz w:val="17"/>
                <w:szCs w:val="17"/>
                <w:color w:val="auto"/>
                <w:w w:val="84"/>
              </w:rPr>
              <w:t>3.2</w:t>
            </w:r>
          </w:p>
        </w:tc>
        <w:tc>
          <w:tcPr>
            <w:tcW w:w="10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7"/>
                <w:szCs w:val="17"/>
                <w:color w:val="0000FF"/>
                <w:w w:val="95"/>
              </w:rPr>
            </w:pPr>
            <w:hyperlink r:id="rId142">
              <w:r>
                <w:rPr>
                  <w:rFonts w:ascii="Arial" w:cs="Arial" w:eastAsia="Arial" w:hAnsi="Arial"/>
                  <w:sz w:val="17"/>
                  <w:szCs w:val="17"/>
                  <w:color w:val="0000FF"/>
                  <w:w w:val="95"/>
                </w:rPr>
                <w:t xml:space="preserve">Amended and Restated Bylaws </w:t>
              </w:r>
            </w:hyperlink>
            <w:r>
              <w:rPr>
                <w:rFonts w:ascii="Arial" w:cs="Arial" w:eastAsia="Arial" w:hAnsi="Arial"/>
                <w:sz w:val="17"/>
                <w:szCs w:val="17"/>
                <w:color w:val="000000"/>
                <w:w w:val="95"/>
              </w:rPr>
              <w:t>(incorporated</w:t>
            </w:r>
            <w:r>
              <w:rPr>
                <w:rFonts w:ascii="Arial" w:cs="Arial" w:eastAsia="Arial" w:hAnsi="Arial"/>
                <w:sz w:val="17"/>
                <w:szCs w:val="17"/>
                <w:color w:val="0000FF"/>
                <w:w w:val="95"/>
              </w:rPr>
              <w:t xml:space="preserve"> </w:t>
            </w:r>
            <w:r>
              <w:rPr>
                <w:rFonts w:ascii="Arial" w:cs="Arial" w:eastAsia="Arial" w:hAnsi="Arial"/>
                <w:sz w:val="17"/>
                <w:szCs w:val="17"/>
                <w:color w:val="000000"/>
                <w:w w:val="95"/>
              </w:rPr>
              <w:t>by reference to Exhibit 3.2 to the registrant’s Current Report on Form 8-K (File No.</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Arial" w:cs="Arial" w:eastAsia="Arial" w:hAnsi="Arial"/>
                <w:sz w:val="17"/>
                <w:szCs w:val="17"/>
                <w:color w:val="auto"/>
              </w:rPr>
              <w:t>001-40797) filed on September 21, 2021)</w:t>
            </w:r>
          </w:p>
        </w:tc>
      </w:tr>
      <w:tr>
        <w:trPr>
          <w:trHeight w:val="298"/>
        </w:trPr>
        <w:tc>
          <w:tcPr>
            <w:tcW w:w="1240" w:type="dxa"/>
            <w:vAlign w:val="bottom"/>
          </w:tcPr>
          <w:p>
            <w:pPr>
              <w:jc w:val="center"/>
              <w:spacing w:after="0"/>
              <w:rPr>
                <w:sz w:val="20"/>
                <w:szCs w:val="20"/>
                <w:color w:val="auto"/>
              </w:rPr>
            </w:pPr>
            <w:r>
              <w:rPr>
                <w:rFonts w:ascii="Arial" w:cs="Arial" w:eastAsia="Arial" w:hAnsi="Arial"/>
                <w:sz w:val="17"/>
                <w:szCs w:val="17"/>
                <w:color w:val="auto"/>
                <w:w w:val="84"/>
              </w:rPr>
              <w:t>4.1</w:t>
            </w:r>
          </w:p>
        </w:tc>
        <w:tc>
          <w:tcPr>
            <w:tcW w:w="10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7"/>
                <w:szCs w:val="17"/>
                <w:color w:val="0000FF"/>
                <w:w w:val="93"/>
              </w:rPr>
            </w:pPr>
            <w:hyperlink r:id="rId143">
              <w:r>
                <w:rPr>
                  <w:rFonts w:ascii="Arial" w:cs="Arial" w:eastAsia="Arial" w:hAnsi="Arial"/>
                  <w:sz w:val="17"/>
                  <w:szCs w:val="17"/>
                  <w:color w:val="0000FF"/>
                  <w:w w:val="93"/>
                </w:rPr>
                <w:t>Description of PROCEPT BioRobotics Corporation’s Securities Registered Pursuant to Section 12 of the Securities Exchange Act of</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40" w:type="dxa"/>
            <w:vAlign w:val="bottom"/>
            <w:tcBorders>
              <w:top w:val="single" w:sz="8" w:color="0000FF"/>
            </w:tcBorders>
            <w:gridSpan w:val="18"/>
          </w:tcPr>
          <w:p>
            <w:pPr>
              <w:spacing w:after="0" w:line="148" w:lineRule="exact"/>
              <w:rPr>
                <w:rFonts w:ascii="Arial" w:cs="Arial" w:eastAsia="Arial" w:hAnsi="Arial"/>
                <w:sz w:val="17"/>
                <w:szCs w:val="17"/>
                <w:color w:val="0000FF"/>
                <w:w w:val="92"/>
              </w:rPr>
            </w:pPr>
            <w:hyperlink r:id="rId143">
              <w:r>
                <w:rPr>
                  <w:rFonts w:ascii="Arial" w:cs="Arial" w:eastAsia="Arial" w:hAnsi="Arial"/>
                  <w:sz w:val="17"/>
                  <w:szCs w:val="17"/>
                  <w:color w:val="0000FF"/>
                  <w:w w:val="92"/>
                </w:rPr>
                <w:t xml:space="preserve">1934 </w:t>
              </w:r>
              <w:r>
                <w:rPr>
                  <w:rFonts w:ascii="Arial" w:cs="Arial" w:eastAsia="Arial" w:hAnsi="Arial"/>
                  <w:sz w:val="17"/>
                  <w:szCs w:val="17"/>
                  <w:color w:val="000000"/>
                  <w:w w:val="92"/>
                </w:rPr>
                <w:t>(incorporated by reference to Exhibit 4.1 to the registrant’s annual report on Form 10-K for the year ended December 31, 2021</w:t>
              </w:r>
            </w:hyperlink>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0000FF"/>
            </w:tcBorders>
          </w:tcPr>
          <w:p>
            <w:pPr>
              <w:spacing w:after="0"/>
              <w:rPr>
                <w:sz w:val="20"/>
                <w:szCs w:val="20"/>
                <w:color w:val="auto"/>
              </w:rPr>
            </w:pPr>
            <w:r>
              <w:rPr>
                <w:rFonts w:ascii="Arial" w:cs="Arial" w:eastAsia="Arial" w:hAnsi="Arial"/>
                <w:sz w:val="17"/>
                <w:szCs w:val="17"/>
                <w:color w:val="auto"/>
              </w:rPr>
              <w:t>(File</w:t>
            </w:r>
          </w:p>
        </w:tc>
        <w:tc>
          <w:tcPr>
            <w:tcW w:w="20" w:type="dxa"/>
            <w:vAlign w:val="bottom"/>
          </w:tcPr>
          <w:p>
            <w:pPr>
              <w:spacing w:after="0"/>
              <w:rPr>
                <w:sz w:val="18"/>
                <w:szCs w:val="18"/>
                <w:color w:val="auto"/>
              </w:rPr>
            </w:pPr>
          </w:p>
        </w:tc>
        <w:tc>
          <w:tcPr>
            <w:tcW w:w="8900" w:type="dxa"/>
            <w:vAlign w:val="bottom"/>
            <w:gridSpan w:val="19"/>
          </w:tcPr>
          <w:p>
            <w:pPr>
              <w:spacing w:after="0"/>
              <w:rPr>
                <w:sz w:val="20"/>
                <w:szCs w:val="20"/>
                <w:color w:val="auto"/>
              </w:rPr>
            </w:pPr>
            <w:r>
              <w:rPr>
                <w:rFonts w:ascii="Arial" w:cs="Arial" w:eastAsia="Arial" w:hAnsi="Arial"/>
                <w:sz w:val="17"/>
                <w:szCs w:val="17"/>
                <w:color w:val="auto"/>
              </w:rPr>
              <w:t>No. 001-40797))</w:t>
            </w:r>
          </w:p>
        </w:tc>
      </w:tr>
      <w:tr>
        <w:trPr>
          <w:trHeight w:val="221"/>
        </w:trPr>
        <w:tc>
          <w:tcPr>
            <w:tcW w:w="1240" w:type="dxa"/>
            <w:vAlign w:val="bottom"/>
          </w:tcPr>
          <w:p>
            <w:pPr>
              <w:jc w:val="center"/>
              <w:spacing w:after="0"/>
              <w:rPr>
                <w:sz w:val="20"/>
                <w:szCs w:val="20"/>
                <w:color w:val="auto"/>
              </w:rPr>
            </w:pPr>
            <w:r>
              <w:rPr>
                <w:rFonts w:ascii="Arial" w:cs="Arial" w:eastAsia="Arial" w:hAnsi="Arial"/>
                <w:sz w:val="17"/>
                <w:szCs w:val="17"/>
                <w:color w:val="auto"/>
                <w:w w:val="92"/>
              </w:rPr>
              <w:t>10.1+</w:t>
            </w:r>
          </w:p>
        </w:tc>
        <w:tc>
          <w:tcPr>
            <w:tcW w:w="100" w:type="dxa"/>
            <w:vAlign w:val="bottom"/>
          </w:tcPr>
          <w:p>
            <w:pPr>
              <w:spacing w:after="0"/>
              <w:rPr>
                <w:sz w:val="19"/>
                <w:szCs w:val="19"/>
                <w:color w:val="auto"/>
              </w:rPr>
            </w:pPr>
          </w:p>
        </w:tc>
        <w:tc>
          <w:tcPr>
            <w:tcW w:w="9280" w:type="dxa"/>
            <w:vAlign w:val="bottom"/>
            <w:gridSpan w:val="21"/>
          </w:tcPr>
          <w:p>
            <w:pPr>
              <w:spacing w:after="0"/>
              <w:rPr>
                <w:rFonts w:ascii="Arial" w:cs="Arial" w:eastAsia="Arial" w:hAnsi="Arial"/>
                <w:sz w:val="17"/>
                <w:szCs w:val="17"/>
                <w:color w:val="0000FF"/>
                <w:w w:val="91"/>
              </w:rPr>
            </w:pPr>
            <w:hyperlink r:id="rId144">
              <w:r>
                <w:rPr>
                  <w:rFonts w:ascii="Arial" w:cs="Arial" w:eastAsia="Arial" w:hAnsi="Arial"/>
                  <w:sz w:val="17"/>
                  <w:szCs w:val="17"/>
                  <w:color w:val="0000FF"/>
                  <w:w w:val="91"/>
                </w:rPr>
                <w:t xml:space="preserve">Offer Letter, by and between the Registrant and Reza Zadno, Ph.D., dated as of January 31, 2020 </w:t>
              </w:r>
            </w:hyperlink>
            <w:r>
              <w:rPr>
                <w:rFonts w:ascii="Arial" w:cs="Arial" w:eastAsia="Arial" w:hAnsi="Arial"/>
                <w:sz w:val="17"/>
                <w:szCs w:val="17"/>
                <w:color w:val="000000"/>
                <w:w w:val="91"/>
              </w:rPr>
              <w:t>(incorporated</w:t>
            </w:r>
            <w:r>
              <w:rPr>
                <w:rFonts w:ascii="Arial" w:cs="Arial" w:eastAsia="Arial" w:hAnsi="Arial"/>
                <w:sz w:val="17"/>
                <w:szCs w:val="17"/>
                <w:color w:val="0000FF"/>
                <w:w w:val="91"/>
              </w:rPr>
              <w:t xml:space="preserve"> </w:t>
            </w:r>
            <w:r>
              <w:rPr>
                <w:rFonts w:ascii="Arial" w:cs="Arial" w:eastAsia="Arial" w:hAnsi="Arial"/>
                <w:sz w:val="17"/>
                <w:szCs w:val="17"/>
                <w:color w:val="000000"/>
                <w:w w:val="91"/>
              </w:rPr>
              <w:t>by reference to Exhibit</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80" w:type="dxa"/>
            <w:vAlign w:val="bottom"/>
            <w:tcBorders>
              <w:top w:val="single" w:sz="8" w:color="0000FF"/>
            </w:tcBorders>
            <w:gridSpan w:val="11"/>
          </w:tcPr>
          <w:p>
            <w:pPr>
              <w:spacing w:after="0"/>
              <w:rPr>
                <w:sz w:val="20"/>
                <w:szCs w:val="20"/>
                <w:color w:val="auto"/>
              </w:rPr>
            </w:pPr>
            <w:r>
              <w:rPr>
                <w:rFonts w:ascii="Arial" w:cs="Arial" w:eastAsia="Arial" w:hAnsi="Arial"/>
                <w:sz w:val="17"/>
                <w:szCs w:val="17"/>
                <w:color w:val="auto"/>
              </w:rPr>
              <w:t>10.1 to the registrant’s registration statement on Form S-1 (File No. 333-258898))</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240" w:type="dxa"/>
            <w:vAlign w:val="bottom"/>
          </w:tcPr>
          <w:p>
            <w:pPr>
              <w:jc w:val="center"/>
              <w:spacing w:after="0"/>
              <w:rPr>
                <w:sz w:val="20"/>
                <w:szCs w:val="20"/>
                <w:color w:val="auto"/>
              </w:rPr>
            </w:pPr>
            <w:r>
              <w:rPr>
                <w:rFonts w:ascii="Arial" w:cs="Arial" w:eastAsia="Arial" w:hAnsi="Arial"/>
                <w:sz w:val="17"/>
                <w:szCs w:val="17"/>
                <w:color w:val="auto"/>
                <w:w w:val="92"/>
              </w:rPr>
              <w:t>10.2+</w:t>
            </w:r>
          </w:p>
        </w:tc>
        <w:tc>
          <w:tcPr>
            <w:tcW w:w="100" w:type="dxa"/>
            <w:vAlign w:val="bottom"/>
          </w:tcPr>
          <w:p>
            <w:pPr>
              <w:spacing w:after="0"/>
              <w:rPr>
                <w:sz w:val="22"/>
                <w:szCs w:val="22"/>
                <w:color w:val="auto"/>
              </w:rPr>
            </w:pPr>
          </w:p>
        </w:tc>
        <w:tc>
          <w:tcPr>
            <w:tcW w:w="9280" w:type="dxa"/>
            <w:vAlign w:val="bottom"/>
            <w:gridSpan w:val="21"/>
          </w:tcPr>
          <w:p>
            <w:pPr>
              <w:spacing w:after="0"/>
              <w:rPr>
                <w:rFonts w:ascii="Arial" w:cs="Arial" w:eastAsia="Arial" w:hAnsi="Arial"/>
                <w:sz w:val="17"/>
                <w:szCs w:val="17"/>
                <w:color w:val="0000FF"/>
                <w:w w:val="93"/>
              </w:rPr>
            </w:pPr>
            <w:hyperlink r:id="rId145">
              <w:r>
                <w:rPr>
                  <w:rFonts w:ascii="Arial" w:cs="Arial" w:eastAsia="Arial" w:hAnsi="Arial"/>
                  <w:sz w:val="17"/>
                  <w:szCs w:val="17"/>
                  <w:color w:val="0000FF"/>
                  <w:w w:val="93"/>
                </w:rPr>
                <w:t xml:space="preserve">Offer Letter, by and between the Registrant and Kevin Waters, dated as of August 7, 2018 </w:t>
              </w:r>
            </w:hyperlink>
            <w:r>
              <w:rPr>
                <w:rFonts w:ascii="Arial" w:cs="Arial" w:eastAsia="Arial" w:hAnsi="Arial"/>
                <w:sz w:val="17"/>
                <w:szCs w:val="17"/>
                <w:color w:val="000000"/>
                <w:w w:val="93"/>
              </w:rPr>
              <w:t>(incorporated</w:t>
            </w:r>
            <w:r>
              <w:rPr>
                <w:rFonts w:ascii="Arial" w:cs="Arial" w:eastAsia="Arial" w:hAnsi="Arial"/>
                <w:sz w:val="17"/>
                <w:szCs w:val="17"/>
                <w:color w:val="0000FF"/>
                <w:w w:val="93"/>
              </w:rPr>
              <w:t xml:space="preserve"> </w:t>
            </w:r>
            <w:r>
              <w:rPr>
                <w:rFonts w:ascii="Arial" w:cs="Arial" w:eastAsia="Arial" w:hAnsi="Arial"/>
                <w:sz w:val="17"/>
                <w:szCs w:val="17"/>
                <w:color w:val="000000"/>
                <w:w w:val="93"/>
              </w:rPr>
              <w:t>by reference to Exhibit 10.2</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80" w:type="dxa"/>
            <w:vAlign w:val="bottom"/>
            <w:tcBorders>
              <w:top w:val="single" w:sz="8" w:color="0000FF"/>
            </w:tcBorders>
            <w:gridSpan w:val="9"/>
          </w:tcPr>
          <w:p>
            <w:pPr>
              <w:spacing w:after="0"/>
              <w:rPr>
                <w:sz w:val="20"/>
                <w:szCs w:val="20"/>
                <w:color w:val="auto"/>
              </w:rPr>
            </w:pPr>
            <w:r>
              <w:rPr>
                <w:rFonts w:ascii="Arial" w:cs="Arial" w:eastAsia="Arial" w:hAnsi="Arial"/>
                <w:sz w:val="17"/>
                <w:szCs w:val="17"/>
                <w:color w:val="auto"/>
              </w:rPr>
              <w:t>to the registrant’s registration statement on Form S-1 (File No. 333-258898))</w:t>
            </w:r>
          </w:p>
        </w:tc>
        <w:tc>
          <w:tcPr>
            <w:tcW w:w="2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240" w:type="dxa"/>
            <w:vAlign w:val="bottom"/>
          </w:tcPr>
          <w:p>
            <w:pPr>
              <w:jc w:val="center"/>
              <w:spacing w:after="0"/>
              <w:rPr>
                <w:sz w:val="20"/>
                <w:szCs w:val="20"/>
                <w:color w:val="auto"/>
              </w:rPr>
            </w:pPr>
            <w:r>
              <w:rPr>
                <w:rFonts w:ascii="Arial" w:cs="Arial" w:eastAsia="Arial" w:hAnsi="Arial"/>
                <w:sz w:val="17"/>
                <w:szCs w:val="17"/>
                <w:color w:val="auto"/>
                <w:w w:val="92"/>
              </w:rPr>
              <w:t>10.3+</w:t>
            </w:r>
          </w:p>
        </w:tc>
        <w:tc>
          <w:tcPr>
            <w:tcW w:w="100" w:type="dxa"/>
            <w:vAlign w:val="bottom"/>
          </w:tcPr>
          <w:p>
            <w:pPr>
              <w:spacing w:after="0"/>
              <w:rPr>
                <w:sz w:val="22"/>
                <w:szCs w:val="22"/>
                <w:color w:val="auto"/>
              </w:rPr>
            </w:pPr>
          </w:p>
        </w:tc>
        <w:tc>
          <w:tcPr>
            <w:tcW w:w="9280" w:type="dxa"/>
            <w:vAlign w:val="bottom"/>
            <w:gridSpan w:val="21"/>
          </w:tcPr>
          <w:p>
            <w:pPr>
              <w:spacing w:after="0"/>
              <w:rPr>
                <w:rFonts w:ascii="Arial" w:cs="Arial" w:eastAsia="Arial" w:hAnsi="Arial"/>
                <w:sz w:val="17"/>
                <w:szCs w:val="17"/>
                <w:color w:val="0000FF"/>
                <w:w w:val="94"/>
              </w:rPr>
            </w:pPr>
            <w:hyperlink r:id="rId146">
              <w:r>
                <w:rPr>
                  <w:rFonts w:ascii="Arial" w:cs="Arial" w:eastAsia="Arial" w:hAnsi="Arial"/>
                  <w:sz w:val="17"/>
                  <w:szCs w:val="17"/>
                  <w:color w:val="0000FF"/>
                  <w:w w:val="94"/>
                </w:rPr>
                <w:t xml:space="preserve">Offer Letter, by and between the Registrant and Hisham Shiblaq, dated as of March 21, 2019 </w:t>
              </w:r>
            </w:hyperlink>
            <w:r>
              <w:rPr>
                <w:rFonts w:ascii="Arial" w:cs="Arial" w:eastAsia="Arial" w:hAnsi="Arial"/>
                <w:sz w:val="17"/>
                <w:szCs w:val="17"/>
                <w:color w:val="000000"/>
                <w:w w:val="94"/>
              </w:rPr>
              <w:t>(incorporated</w:t>
            </w:r>
            <w:r>
              <w:rPr>
                <w:rFonts w:ascii="Arial" w:cs="Arial" w:eastAsia="Arial" w:hAnsi="Arial"/>
                <w:sz w:val="17"/>
                <w:szCs w:val="17"/>
                <w:color w:val="0000FF"/>
                <w:w w:val="94"/>
              </w:rPr>
              <w:t xml:space="preserve"> </w:t>
            </w:r>
            <w:r>
              <w:rPr>
                <w:rFonts w:ascii="Arial" w:cs="Arial" w:eastAsia="Arial" w:hAnsi="Arial"/>
                <w:sz w:val="17"/>
                <w:szCs w:val="17"/>
                <w:color w:val="000000"/>
                <w:w w:val="94"/>
              </w:rPr>
              <w:t>by reference to Exhibit</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0" w:type="dxa"/>
            <w:vAlign w:val="bottom"/>
            <w:tcBorders>
              <w:top w:val="single" w:sz="8" w:color="0000FF"/>
            </w:tcBorders>
            <w:gridSpan w:val="10"/>
          </w:tcPr>
          <w:p>
            <w:pPr>
              <w:spacing w:after="0"/>
              <w:rPr>
                <w:sz w:val="20"/>
                <w:szCs w:val="20"/>
                <w:color w:val="auto"/>
              </w:rPr>
            </w:pPr>
            <w:r>
              <w:rPr>
                <w:rFonts w:ascii="Arial" w:cs="Arial" w:eastAsia="Arial" w:hAnsi="Arial"/>
                <w:sz w:val="17"/>
                <w:szCs w:val="17"/>
                <w:color w:val="auto"/>
              </w:rPr>
              <w:t>10.3 to the registrant’s registration statement on Form S-1 (File No. 333-258898))</w:t>
            </w:r>
          </w:p>
        </w:tc>
        <w:tc>
          <w:tcPr>
            <w:tcW w:w="9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240" w:type="dxa"/>
            <w:vAlign w:val="bottom"/>
          </w:tcPr>
          <w:p>
            <w:pPr>
              <w:jc w:val="center"/>
              <w:spacing w:after="0"/>
              <w:rPr>
                <w:sz w:val="20"/>
                <w:szCs w:val="20"/>
                <w:color w:val="auto"/>
              </w:rPr>
            </w:pPr>
            <w:r>
              <w:rPr>
                <w:rFonts w:ascii="Arial" w:cs="Arial" w:eastAsia="Arial" w:hAnsi="Arial"/>
                <w:sz w:val="17"/>
                <w:szCs w:val="17"/>
                <w:color w:val="auto"/>
                <w:w w:val="92"/>
              </w:rPr>
              <w:t>10.4+</w:t>
            </w:r>
          </w:p>
        </w:tc>
        <w:tc>
          <w:tcPr>
            <w:tcW w:w="100" w:type="dxa"/>
            <w:vAlign w:val="bottom"/>
          </w:tcPr>
          <w:p>
            <w:pPr>
              <w:spacing w:after="0"/>
              <w:rPr>
                <w:sz w:val="22"/>
                <w:szCs w:val="22"/>
                <w:color w:val="auto"/>
              </w:rPr>
            </w:pPr>
          </w:p>
        </w:tc>
        <w:tc>
          <w:tcPr>
            <w:tcW w:w="9280" w:type="dxa"/>
            <w:vAlign w:val="bottom"/>
            <w:gridSpan w:val="21"/>
          </w:tcPr>
          <w:p>
            <w:pPr>
              <w:spacing w:after="0"/>
              <w:rPr>
                <w:rFonts w:ascii="Arial" w:cs="Arial" w:eastAsia="Arial" w:hAnsi="Arial"/>
                <w:sz w:val="17"/>
                <w:szCs w:val="17"/>
                <w:color w:val="0000FF"/>
                <w:w w:val="93"/>
              </w:rPr>
            </w:pPr>
            <w:hyperlink r:id="rId147">
              <w:r>
                <w:rPr>
                  <w:rFonts w:ascii="Arial" w:cs="Arial" w:eastAsia="Arial" w:hAnsi="Arial"/>
                  <w:sz w:val="17"/>
                  <w:szCs w:val="17"/>
                  <w:color w:val="0000FF"/>
                  <w:w w:val="93"/>
                </w:rPr>
                <w:t xml:space="preserve">Amended and Restated 2008 Stock Plan </w:t>
              </w:r>
            </w:hyperlink>
            <w:r>
              <w:rPr>
                <w:rFonts w:ascii="Arial" w:cs="Arial" w:eastAsia="Arial" w:hAnsi="Arial"/>
                <w:sz w:val="17"/>
                <w:szCs w:val="17"/>
                <w:color w:val="000000"/>
                <w:w w:val="93"/>
              </w:rPr>
              <w:t>(incorporated</w:t>
            </w:r>
            <w:r>
              <w:rPr>
                <w:rFonts w:ascii="Arial" w:cs="Arial" w:eastAsia="Arial" w:hAnsi="Arial"/>
                <w:sz w:val="17"/>
                <w:szCs w:val="17"/>
                <w:color w:val="0000FF"/>
                <w:w w:val="93"/>
              </w:rPr>
              <w:t xml:space="preserve"> </w:t>
            </w:r>
            <w:r>
              <w:rPr>
                <w:rFonts w:ascii="Arial" w:cs="Arial" w:eastAsia="Arial" w:hAnsi="Arial"/>
                <w:sz w:val="17"/>
                <w:szCs w:val="17"/>
                <w:color w:val="000000"/>
                <w:w w:val="93"/>
              </w:rPr>
              <w:t>by reference to Exhibit 10.4 to the registrant’s registration statement on Form</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rPr>
              <w:t>S-1 (File No. 333-258898))</w:t>
            </w:r>
          </w:p>
        </w:tc>
        <w:tc>
          <w:tcPr>
            <w:tcW w:w="102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c>
          <w:tcPr>
            <w:tcW w:w="152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10.4(a)+</w:t>
            </w:r>
          </w:p>
        </w:tc>
        <w:tc>
          <w:tcPr>
            <w:tcW w:w="9280" w:type="dxa"/>
            <w:vAlign w:val="bottom"/>
            <w:gridSpan w:val="21"/>
          </w:tcPr>
          <w:p>
            <w:pPr>
              <w:spacing w:after="0"/>
              <w:rPr>
                <w:rFonts w:ascii="Arial" w:cs="Arial" w:eastAsia="Arial" w:hAnsi="Arial"/>
                <w:sz w:val="17"/>
                <w:szCs w:val="17"/>
                <w:color w:val="0000FF"/>
                <w:w w:val="93"/>
              </w:rPr>
            </w:pPr>
            <w:hyperlink r:id="rId148">
              <w:r>
                <w:rPr>
                  <w:rFonts w:ascii="Arial" w:cs="Arial" w:eastAsia="Arial" w:hAnsi="Arial"/>
                  <w:sz w:val="17"/>
                  <w:szCs w:val="17"/>
                  <w:color w:val="0000FF"/>
                  <w:w w:val="93"/>
                </w:rPr>
                <w:t xml:space="preserve">Form of Stock Option Agreement under the Amended and Restated 2008 Stock Plan </w:t>
              </w:r>
            </w:hyperlink>
            <w:r>
              <w:rPr>
                <w:rFonts w:ascii="Arial" w:cs="Arial" w:eastAsia="Arial" w:hAnsi="Arial"/>
                <w:sz w:val="17"/>
                <w:szCs w:val="17"/>
                <w:color w:val="000000"/>
                <w:w w:val="93"/>
              </w:rPr>
              <w:t>(incorporated</w:t>
            </w:r>
            <w:r>
              <w:rPr>
                <w:rFonts w:ascii="Arial" w:cs="Arial" w:eastAsia="Arial" w:hAnsi="Arial"/>
                <w:sz w:val="17"/>
                <w:szCs w:val="17"/>
                <w:color w:val="0000FF"/>
                <w:w w:val="93"/>
              </w:rPr>
              <w:t xml:space="preserve"> </w:t>
            </w:r>
            <w:r>
              <w:rPr>
                <w:rFonts w:ascii="Arial" w:cs="Arial" w:eastAsia="Arial" w:hAnsi="Arial"/>
                <w:sz w:val="17"/>
                <w:szCs w:val="17"/>
                <w:color w:val="000000"/>
                <w:w w:val="93"/>
              </w:rPr>
              <w:t>by reference to Exhibit 10.4(a) to</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Borders>
              <w:top w:val="single" w:sz="8" w:color="0000FF"/>
            </w:tcBorders>
            <w:gridSpan w:val="8"/>
          </w:tcPr>
          <w:p>
            <w:pPr>
              <w:spacing w:after="0"/>
              <w:rPr>
                <w:sz w:val="20"/>
                <w:szCs w:val="20"/>
                <w:color w:val="auto"/>
              </w:rPr>
            </w:pPr>
            <w:r>
              <w:rPr>
                <w:rFonts w:ascii="Arial" w:cs="Arial" w:eastAsia="Arial" w:hAnsi="Arial"/>
                <w:sz w:val="17"/>
                <w:szCs w:val="17"/>
                <w:color w:val="auto"/>
              </w:rPr>
              <w:t>the registrant’s registration statement on Form S-1 (File No. 333-258898))</w:t>
            </w:r>
          </w:p>
        </w:tc>
        <w:tc>
          <w:tcPr>
            <w:tcW w:w="152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24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00" w:type="dxa"/>
            <w:vAlign w:val="bottom"/>
          </w:tcPr>
          <w:p>
            <w:pPr>
              <w:spacing w:after="0"/>
              <w:rPr>
                <w:sz w:val="22"/>
                <w:szCs w:val="22"/>
                <w:color w:val="auto"/>
              </w:rPr>
            </w:pPr>
          </w:p>
        </w:tc>
        <w:tc>
          <w:tcPr>
            <w:tcW w:w="9280" w:type="dxa"/>
            <w:vAlign w:val="bottom"/>
            <w:gridSpan w:val="21"/>
          </w:tcPr>
          <w:p>
            <w:pPr>
              <w:spacing w:after="0"/>
              <w:rPr>
                <w:rFonts w:ascii="Arial" w:cs="Arial" w:eastAsia="Arial" w:hAnsi="Arial"/>
                <w:sz w:val="17"/>
                <w:szCs w:val="17"/>
                <w:color w:val="0000FF"/>
                <w:w w:val="97"/>
              </w:rPr>
            </w:pPr>
            <w:hyperlink r:id="rId149">
              <w:r>
                <w:rPr>
                  <w:rFonts w:ascii="Arial" w:cs="Arial" w:eastAsia="Arial" w:hAnsi="Arial"/>
                  <w:sz w:val="17"/>
                  <w:szCs w:val="17"/>
                  <w:color w:val="0000FF"/>
                  <w:w w:val="97"/>
                </w:rPr>
                <w:t xml:space="preserve">Form of Indemnification and Advancement Agreement </w:t>
              </w:r>
            </w:hyperlink>
            <w:r>
              <w:rPr>
                <w:rFonts w:ascii="Arial" w:cs="Arial" w:eastAsia="Arial" w:hAnsi="Arial"/>
                <w:sz w:val="17"/>
                <w:szCs w:val="17"/>
                <w:color w:val="000000"/>
                <w:w w:val="97"/>
              </w:rPr>
              <w:t>(incorporated</w:t>
            </w:r>
            <w:r>
              <w:rPr>
                <w:rFonts w:ascii="Arial" w:cs="Arial" w:eastAsia="Arial" w:hAnsi="Arial"/>
                <w:sz w:val="17"/>
                <w:szCs w:val="17"/>
                <w:color w:val="0000FF"/>
                <w:w w:val="97"/>
              </w:rPr>
              <w:t xml:space="preserve"> </w:t>
            </w:r>
            <w:r>
              <w:rPr>
                <w:rFonts w:ascii="Arial" w:cs="Arial" w:eastAsia="Arial" w:hAnsi="Arial"/>
                <w:sz w:val="17"/>
                <w:szCs w:val="17"/>
                <w:color w:val="000000"/>
                <w:w w:val="97"/>
              </w:rPr>
              <w:t>by reference to Exhibit 10.5 to the registrant’s registration</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Borders>
              <w:top w:val="single" w:sz="8" w:color="0000FF"/>
            </w:tcBorders>
            <w:gridSpan w:val="7"/>
          </w:tcPr>
          <w:p>
            <w:pPr>
              <w:spacing w:after="0"/>
              <w:rPr>
                <w:sz w:val="20"/>
                <w:szCs w:val="20"/>
                <w:color w:val="auto"/>
              </w:rPr>
            </w:pPr>
            <w:r>
              <w:rPr>
                <w:rFonts w:ascii="Arial" w:cs="Arial" w:eastAsia="Arial" w:hAnsi="Arial"/>
                <w:sz w:val="17"/>
                <w:szCs w:val="17"/>
                <w:color w:val="auto"/>
              </w:rPr>
              <w:t>statement on Form S-1 (File No. 333-258898))</w:t>
            </w:r>
          </w:p>
        </w:tc>
        <w:tc>
          <w:tcPr>
            <w:tcW w:w="3540" w:type="dxa"/>
            <w:vAlign w:val="bottom"/>
            <w:gridSpan w:val="5"/>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60"/>
        </w:trPr>
        <w:tc>
          <w:tcPr>
            <w:tcW w:w="1240" w:type="dxa"/>
            <w:vAlign w:val="bottom"/>
          </w:tcPr>
          <w:p>
            <w:pPr>
              <w:jc w:val="center"/>
              <w:spacing w:after="0"/>
              <w:rPr>
                <w:sz w:val="20"/>
                <w:szCs w:val="20"/>
                <w:color w:val="auto"/>
              </w:rPr>
            </w:pPr>
            <w:r>
              <w:rPr>
                <w:rFonts w:ascii="Arial" w:cs="Arial" w:eastAsia="Arial" w:hAnsi="Arial"/>
                <w:sz w:val="17"/>
                <w:szCs w:val="17"/>
                <w:color w:val="auto"/>
                <w:w w:val="90"/>
              </w:rPr>
              <w:t>10.6</w:t>
            </w:r>
          </w:p>
        </w:tc>
        <w:tc>
          <w:tcPr>
            <w:tcW w:w="100" w:type="dxa"/>
            <w:vAlign w:val="bottom"/>
          </w:tcPr>
          <w:p>
            <w:pPr>
              <w:spacing w:after="0"/>
              <w:rPr>
                <w:sz w:val="22"/>
                <w:szCs w:val="22"/>
                <w:color w:val="auto"/>
              </w:rPr>
            </w:pPr>
          </w:p>
        </w:tc>
        <w:tc>
          <w:tcPr>
            <w:tcW w:w="9280" w:type="dxa"/>
            <w:vAlign w:val="bottom"/>
            <w:gridSpan w:val="21"/>
          </w:tcPr>
          <w:p>
            <w:pPr>
              <w:spacing w:after="0"/>
              <w:rPr>
                <w:rFonts w:ascii="Arial" w:cs="Arial" w:eastAsia="Arial" w:hAnsi="Arial"/>
                <w:sz w:val="17"/>
                <w:szCs w:val="17"/>
                <w:color w:val="0000FF"/>
                <w:w w:val="91"/>
              </w:rPr>
            </w:pPr>
            <w:hyperlink r:id="rId150">
              <w:r>
                <w:rPr>
                  <w:rFonts w:ascii="Arial" w:cs="Arial" w:eastAsia="Arial" w:hAnsi="Arial"/>
                  <w:sz w:val="17"/>
                  <w:szCs w:val="17"/>
                  <w:color w:val="0000FF"/>
                  <w:w w:val="91"/>
                </w:rPr>
                <w:t>Amended and Restated Exclusive License Agreement, by and between the Registrant and AquaBeam LLC, dated as of September 13,</w:t>
              </w:r>
            </w:hyperlink>
          </w:p>
        </w:tc>
      </w:tr>
      <w:tr>
        <w:trPr>
          <w:trHeight w:val="148"/>
        </w:trPr>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20" w:type="dxa"/>
            <w:vAlign w:val="bottom"/>
            <w:tcBorders>
              <w:top w:val="single" w:sz="8" w:color="0000FF"/>
            </w:tcBorders>
            <w:gridSpan w:val="20"/>
          </w:tcPr>
          <w:p>
            <w:pPr>
              <w:spacing w:after="0" w:line="148" w:lineRule="exact"/>
              <w:rPr>
                <w:rFonts w:ascii="Arial" w:cs="Arial" w:eastAsia="Arial" w:hAnsi="Arial"/>
                <w:sz w:val="17"/>
                <w:szCs w:val="17"/>
                <w:color w:val="0000FF"/>
                <w:w w:val="98"/>
              </w:rPr>
            </w:pPr>
            <w:hyperlink r:id="rId150">
              <w:r>
                <w:rPr>
                  <w:rFonts w:ascii="Arial" w:cs="Arial" w:eastAsia="Arial" w:hAnsi="Arial"/>
                  <w:sz w:val="17"/>
                  <w:szCs w:val="17"/>
                  <w:color w:val="0000FF"/>
                  <w:w w:val="98"/>
                </w:rPr>
                <w:t xml:space="preserve">2019 </w:t>
              </w:r>
              <w:r>
                <w:rPr>
                  <w:rFonts w:ascii="Arial" w:cs="Arial" w:eastAsia="Arial" w:hAnsi="Arial"/>
                  <w:sz w:val="17"/>
                  <w:szCs w:val="17"/>
                  <w:color w:val="000000"/>
                  <w:w w:val="98"/>
                </w:rPr>
                <w:t>(incorporated by reference to Exhibit 10.6 to the registrant’s registration statement on Form S-1 (File No. 333-258898))</w:t>
              </w:r>
            </w:hyperlink>
          </w:p>
        </w:tc>
        <w:tc>
          <w:tcPr>
            <w:tcW w:w="6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2"/>
        </w:trPr>
        <w:tc>
          <w:tcPr>
            <w:tcW w:w="1240" w:type="dxa"/>
            <w:vAlign w:val="bottom"/>
          </w:tcPr>
          <w:p>
            <w:pPr>
              <w:jc w:val="center"/>
              <w:spacing w:after="0"/>
              <w:rPr>
                <w:sz w:val="20"/>
                <w:szCs w:val="20"/>
                <w:color w:val="auto"/>
              </w:rPr>
            </w:pPr>
            <w:r>
              <w:rPr>
                <w:rFonts w:ascii="Arial" w:cs="Arial" w:eastAsia="Arial" w:hAnsi="Arial"/>
                <w:sz w:val="17"/>
                <w:szCs w:val="17"/>
                <w:color w:val="auto"/>
                <w:w w:val="90"/>
              </w:rPr>
              <w:t>10.7</w:t>
            </w:r>
          </w:p>
        </w:tc>
        <w:tc>
          <w:tcPr>
            <w:tcW w:w="10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7"/>
                <w:szCs w:val="17"/>
                <w:color w:val="0000FF"/>
                <w:w w:val="91"/>
              </w:rPr>
            </w:pPr>
            <w:hyperlink r:id="rId151">
              <w:r>
                <w:rPr>
                  <w:rFonts w:ascii="Arial" w:cs="Arial" w:eastAsia="Arial" w:hAnsi="Arial"/>
                  <w:sz w:val="17"/>
                  <w:szCs w:val="17"/>
                  <w:color w:val="0000FF"/>
                  <w:w w:val="91"/>
                </w:rPr>
                <w:t xml:space="preserve">Lease Agreement, by and between the Registrant and Westport Office Park LLC, dated as of July 15, 2013 </w:t>
              </w:r>
            </w:hyperlink>
            <w:r>
              <w:rPr>
                <w:rFonts w:ascii="Arial" w:cs="Arial" w:eastAsia="Arial" w:hAnsi="Arial"/>
                <w:sz w:val="17"/>
                <w:szCs w:val="17"/>
                <w:color w:val="000000"/>
                <w:w w:val="91"/>
              </w:rPr>
              <w:t>(incorporated</w:t>
            </w:r>
            <w:r>
              <w:rPr>
                <w:rFonts w:ascii="Arial" w:cs="Arial" w:eastAsia="Arial" w:hAnsi="Arial"/>
                <w:sz w:val="17"/>
                <w:szCs w:val="17"/>
                <w:color w:val="0000FF"/>
                <w:w w:val="91"/>
              </w:rPr>
              <w:t xml:space="preserve"> </w:t>
            </w:r>
            <w:r>
              <w:rPr>
                <w:rFonts w:ascii="Arial" w:cs="Arial" w:eastAsia="Arial" w:hAnsi="Arial"/>
                <w:sz w:val="17"/>
                <w:szCs w:val="17"/>
                <w:color w:val="000000"/>
                <w:w w:val="91"/>
              </w:rPr>
              <w:t>by reference</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340" w:type="dxa"/>
            <w:vAlign w:val="bottom"/>
            <w:tcBorders>
              <w:top w:val="single" w:sz="8" w:color="0000FF"/>
            </w:tcBorders>
            <w:gridSpan w:val="12"/>
          </w:tcPr>
          <w:p>
            <w:pPr>
              <w:spacing w:after="0"/>
              <w:rPr>
                <w:sz w:val="20"/>
                <w:szCs w:val="20"/>
                <w:color w:val="auto"/>
              </w:rPr>
            </w:pPr>
            <w:r>
              <w:rPr>
                <w:rFonts w:ascii="Arial" w:cs="Arial" w:eastAsia="Arial" w:hAnsi="Arial"/>
                <w:sz w:val="17"/>
                <w:szCs w:val="17"/>
                <w:color w:val="auto"/>
              </w:rPr>
              <w:t>to Exhibit 10.8 to the registrant’s registration statement on Form S-1 (File No. 333-258898))</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60"/>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10.7(a)</w:t>
            </w:r>
          </w:p>
        </w:tc>
        <w:tc>
          <w:tcPr>
            <w:tcW w:w="9280" w:type="dxa"/>
            <w:vAlign w:val="bottom"/>
            <w:gridSpan w:val="21"/>
          </w:tcPr>
          <w:p>
            <w:pPr>
              <w:spacing w:after="0"/>
              <w:rPr>
                <w:rFonts w:ascii="Arial" w:cs="Arial" w:eastAsia="Arial" w:hAnsi="Arial"/>
                <w:sz w:val="17"/>
                <w:szCs w:val="17"/>
                <w:color w:val="0000FF"/>
                <w:w w:val="95"/>
              </w:rPr>
            </w:pPr>
            <w:hyperlink r:id="rId152">
              <w:r>
                <w:rPr>
                  <w:rFonts w:ascii="Arial" w:cs="Arial" w:eastAsia="Arial" w:hAnsi="Arial"/>
                  <w:sz w:val="17"/>
                  <w:szCs w:val="17"/>
                  <w:color w:val="0000FF"/>
                  <w:w w:val="95"/>
                </w:rPr>
                <w:t>First Amendment to Lease Agreement, by and between the Registrant and Westport Office Park LLC, dated as of March 2, 2016</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4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auto"/>
                <w:w w:val="96"/>
              </w:rPr>
              <w:t>(incorporated by reference to Exhibit 10.8(a) to the registrant’s registration statement on Form S-1 (File No. 333-258898))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60"/>
        </w:trPr>
        <w:tc>
          <w:tcPr>
            <w:tcW w:w="134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10.7(b)</w:t>
            </w:r>
          </w:p>
        </w:tc>
        <w:tc>
          <w:tcPr>
            <w:tcW w:w="9280" w:type="dxa"/>
            <w:vAlign w:val="bottom"/>
            <w:gridSpan w:val="21"/>
          </w:tcPr>
          <w:p>
            <w:pPr>
              <w:spacing w:after="0"/>
              <w:rPr>
                <w:rFonts w:ascii="Arial" w:cs="Arial" w:eastAsia="Arial" w:hAnsi="Arial"/>
                <w:sz w:val="17"/>
                <w:szCs w:val="17"/>
                <w:color w:val="0000FF"/>
                <w:w w:val="94"/>
              </w:rPr>
            </w:pPr>
            <w:hyperlink r:id="rId153">
              <w:r>
                <w:rPr>
                  <w:rFonts w:ascii="Arial" w:cs="Arial" w:eastAsia="Arial" w:hAnsi="Arial"/>
                  <w:sz w:val="17"/>
                  <w:szCs w:val="17"/>
                  <w:color w:val="0000FF"/>
                  <w:w w:val="94"/>
                </w:rPr>
                <w:t>Second Amendment to Lease Agreement, by and between the Registrant and Westport Office Park LLC, dated as of May 20, 2016</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980" w:type="dxa"/>
            <w:vAlign w:val="bottom"/>
            <w:tcBorders>
              <w:top w:val="single" w:sz="8" w:color="0000FF"/>
            </w:tcBorders>
            <w:gridSpan w:val="17"/>
          </w:tcPr>
          <w:p>
            <w:pPr>
              <w:spacing w:after="0"/>
              <w:rPr>
                <w:sz w:val="20"/>
                <w:szCs w:val="20"/>
                <w:color w:val="auto"/>
              </w:rPr>
            </w:pPr>
            <w:r>
              <w:rPr>
                <w:rFonts w:ascii="Arial" w:cs="Arial" w:eastAsia="Arial" w:hAnsi="Arial"/>
                <w:sz w:val="17"/>
                <w:szCs w:val="17"/>
                <w:color w:val="auto"/>
                <w:w w:val="98"/>
              </w:rPr>
              <w:t>(incorporated by reference to Exhibit 10.8(b) to the registrant’s registration statement on Form S-1 (File No. 333-258898))</w:t>
            </w:r>
          </w:p>
        </w:tc>
        <w:tc>
          <w:tcPr>
            <w:tcW w:w="220" w:type="dxa"/>
            <w:vAlign w:val="bottom"/>
            <w:gridSpan w:val="2"/>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60"/>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10.7(c)</w:t>
            </w:r>
          </w:p>
        </w:tc>
        <w:tc>
          <w:tcPr>
            <w:tcW w:w="9280" w:type="dxa"/>
            <w:vAlign w:val="bottom"/>
            <w:gridSpan w:val="21"/>
          </w:tcPr>
          <w:p>
            <w:pPr>
              <w:spacing w:after="0"/>
              <w:rPr>
                <w:rFonts w:ascii="Arial" w:cs="Arial" w:eastAsia="Arial" w:hAnsi="Arial"/>
                <w:sz w:val="17"/>
                <w:szCs w:val="17"/>
                <w:color w:val="0000FF"/>
                <w:w w:val="96"/>
              </w:rPr>
            </w:pPr>
            <w:hyperlink r:id="rId154">
              <w:r>
                <w:rPr>
                  <w:rFonts w:ascii="Arial" w:cs="Arial" w:eastAsia="Arial" w:hAnsi="Arial"/>
                  <w:sz w:val="17"/>
                  <w:szCs w:val="17"/>
                  <w:color w:val="0000FF"/>
                  <w:w w:val="96"/>
                </w:rPr>
                <w:t>Third Amendment to Lease Agreement, by and between the Registrant and Westport Office Park LLC, dated as of April 4, 2018</w:t>
              </w:r>
            </w:hyperlink>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Borders>
              <w:top w:val="single" w:sz="8" w:color="0000FF"/>
            </w:tcBorders>
            <w:gridSpan w:val="14"/>
          </w:tcPr>
          <w:p>
            <w:pPr>
              <w:spacing w:after="0"/>
              <w:rPr>
                <w:sz w:val="20"/>
                <w:szCs w:val="20"/>
                <w:color w:val="auto"/>
              </w:rPr>
            </w:pPr>
            <w:r>
              <w:rPr>
                <w:rFonts w:ascii="Arial" w:cs="Arial" w:eastAsia="Arial" w:hAnsi="Arial"/>
                <w:sz w:val="17"/>
                <w:szCs w:val="17"/>
                <w:color w:val="auto"/>
                <w:w w:val="96"/>
              </w:rPr>
              <w:t>(incorporated by reference to Exhibit 10.8(c) to the registrant’s registration statement on Form S-1 (File No. 333-258898))</w:t>
            </w:r>
          </w:p>
        </w:tc>
        <w:tc>
          <w:tcPr>
            <w:tcW w:w="100" w:type="dxa"/>
            <w:vAlign w:val="bottom"/>
            <w:gridSpan w:val="2"/>
          </w:tcPr>
          <w:p>
            <w:pPr>
              <w:spacing w:after="0"/>
              <w:rPr>
                <w:sz w:val="18"/>
                <w:szCs w:val="18"/>
                <w:color w:val="auto"/>
              </w:rPr>
            </w:pPr>
          </w:p>
        </w:tc>
        <w:tc>
          <w:tcPr>
            <w:tcW w:w="280" w:type="dxa"/>
            <w:vAlign w:val="bottom"/>
            <w:gridSpan w:val="3"/>
          </w:tcPr>
          <w:p>
            <w:pPr>
              <w:spacing w:after="0"/>
              <w:rPr>
                <w:sz w:val="18"/>
                <w:szCs w:val="18"/>
                <w:color w:val="auto"/>
              </w:rPr>
            </w:pPr>
          </w:p>
        </w:tc>
        <w:tc>
          <w:tcPr>
            <w:tcW w:w="80" w:type="dxa"/>
            <w:vAlign w:val="bottom"/>
            <w:gridSpan w:val="2"/>
          </w:tcPr>
          <w:p>
            <w:pPr>
              <w:spacing w:after="0"/>
              <w:rPr>
                <w:sz w:val="18"/>
                <w:szCs w:val="18"/>
                <w:color w:val="auto"/>
              </w:rPr>
            </w:pPr>
          </w:p>
        </w:tc>
      </w:tr>
      <w:tr>
        <w:trPr>
          <w:trHeight w:val="260"/>
        </w:trPr>
        <w:tc>
          <w:tcPr>
            <w:tcW w:w="134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10.7(d)*</w:t>
            </w:r>
          </w:p>
        </w:tc>
        <w:tc>
          <w:tcPr>
            <w:tcW w:w="9200" w:type="dxa"/>
            <w:vAlign w:val="bottom"/>
            <w:tcBorders>
              <w:bottom w:val="single" w:sz="8" w:color="0000FF"/>
            </w:tcBorders>
            <w:gridSpan w:val="19"/>
          </w:tcPr>
          <w:p>
            <w:pPr>
              <w:spacing w:after="0"/>
              <w:rPr>
                <w:sz w:val="20"/>
                <w:szCs w:val="20"/>
                <w:color w:val="auto"/>
              </w:rPr>
            </w:pPr>
            <w:r>
              <w:rPr>
                <w:rFonts w:ascii="Arial" w:cs="Arial" w:eastAsia="Arial" w:hAnsi="Arial"/>
                <w:sz w:val="17"/>
                <w:szCs w:val="17"/>
                <w:color w:val="0000FF"/>
                <w:w w:val="91"/>
              </w:rPr>
              <w:t>Fourth Amendment to Lease Agreement, by and between the Registrant and Westport Office Park LLC, dated as of January 27, 2023.</w:t>
            </w:r>
          </w:p>
        </w:tc>
        <w:tc>
          <w:tcPr>
            <w:tcW w:w="80" w:type="dxa"/>
            <w:vAlign w:val="bottom"/>
            <w:gridSpan w:val="2"/>
          </w:tcPr>
          <w:p>
            <w:pPr>
              <w:spacing w:after="0"/>
              <w:rPr>
                <w:sz w:val="22"/>
                <w:szCs w:val="22"/>
                <w:color w:val="auto"/>
              </w:rPr>
            </w:pPr>
          </w:p>
        </w:tc>
      </w:tr>
      <w:tr>
        <w:trPr>
          <w:trHeight w:val="289"/>
        </w:trPr>
        <w:tc>
          <w:tcPr>
            <w:tcW w:w="1240" w:type="dxa"/>
            <w:vAlign w:val="bottom"/>
          </w:tcPr>
          <w:p>
            <w:pPr>
              <w:jc w:val="center"/>
              <w:spacing w:after="0"/>
              <w:rPr>
                <w:sz w:val="20"/>
                <w:szCs w:val="20"/>
                <w:color w:val="auto"/>
              </w:rPr>
            </w:pPr>
            <w:r>
              <w:rPr>
                <w:rFonts w:ascii="Arial" w:cs="Arial" w:eastAsia="Arial" w:hAnsi="Arial"/>
                <w:sz w:val="17"/>
                <w:szCs w:val="17"/>
                <w:color w:val="auto"/>
                <w:w w:val="90"/>
              </w:rPr>
              <w:t>10.8</w:t>
            </w:r>
          </w:p>
        </w:tc>
        <w:tc>
          <w:tcPr>
            <w:tcW w:w="100" w:type="dxa"/>
            <w:vAlign w:val="bottom"/>
          </w:tcPr>
          <w:p>
            <w:pPr>
              <w:spacing w:after="0"/>
              <w:rPr>
                <w:sz w:val="24"/>
                <w:szCs w:val="24"/>
                <w:color w:val="auto"/>
              </w:rPr>
            </w:pPr>
          </w:p>
        </w:tc>
        <w:tc>
          <w:tcPr>
            <w:tcW w:w="9280" w:type="dxa"/>
            <w:vAlign w:val="bottom"/>
            <w:gridSpan w:val="21"/>
          </w:tcPr>
          <w:p>
            <w:pPr>
              <w:spacing w:after="0"/>
              <w:rPr>
                <w:rFonts w:ascii="Arial" w:cs="Arial" w:eastAsia="Arial" w:hAnsi="Arial"/>
                <w:sz w:val="17"/>
                <w:szCs w:val="17"/>
                <w:color w:val="0000FF"/>
                <w:w w:val="97"/>
              </w:rPr>
            </w:pPr>
            <w:hyperlink r:id="rId151">
              <w:r>
                <w:rPr>
                  <w:rFonts w:ascii="Arial" w:cs="Arial" w:eastAsia="Arial" w:hAnsi="Arial"/>
                  <w:sz w:val="17"/>
                  <w:szCs w:val="17"/>
                  <w:color w:val="0000FF"/>
                  <w:w w:val="97"/>
                </w:rPr>
                <w:t xml:space="preserve">Lease, by and between the Registrant and 150-180 Baytech Drive CA Owner, LLC, dated December 31, 2021 </w:t>
              </w:r>
            </w:hyperlink>
            <w:r>
              <w:rPr>
                <w:rFonts w:ascii="Arial" w:cs="Arial" w:eastAsia="Arial" w:hAnsi="Arial"/>
                <w:sz w:val="17"/>
                <w:szCs w:val="17"/>
                <w:color w:val="000000"/>
                <w:w w:val="97"/>
              </w:rPr>
              <w:t>(incorporated</w:t>
            </w:r>
            <w:r>
              <w:rPr>
                <w:rFonts w:ascii="Arial" w:cs="Arial" w:eastAsia="Arial" w:hAnsi="Arial"/>
                <w:sz w:val="17"/>
                <w:szCs w:val="17"/>
                <w:color w:val="0000FF"/>
                <w:w w:val="97"/>
              </w:rPr>
              <w:t xml:space="preserve"> </w:t>
            </w:r>
            <w:r>
              <w:rPr>
                <w:rFonts w:ascii="Arial" w:cs="Arial" w:eastAsia="Arial" w:hAnsi="Arial"/>
                <w:sz w:val="17"/>
                <w:szCs w:val="17"/>
                <w:color w:val="000000"/>
                <w:w w:val="97"/>
              </w:rPr>
              <w:t>by</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5120" w:type="dxa"/>
            <w:vAlign w:val="bottom"/>
            <w:gridSpan w:val="9"/>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80" w:type="dxa"/>
            <w:vAlign w:val="bottom"/>
            <w:gridSpan w:val="21"/>
          </w:tcPr>
          <w:p>
            <w:pPr>
              <w:spacing w:after="0"/>
              <w:rPr>
                <w:sz w:val="20"/>
                <w:szCs w:val="20"/>
                <w:color w:val="auto"/>
              </w:rPr>
            </w:pPr>
            <w:r>
              <w:rPr>
                <w:rFonts w:ascii="Arial" w:cs="Arial" w:eastAsia="Arial" w:hAnsi="Arial"/>
                <w:sz w:val="17"/>
                <w:szCs w:val="17"/>
                <w:color w:val="auto"/>
                <w:w w:val="92"/>
              </w:rPr>
              <w:t>reference to Exhibit 10.9 to the registrant’s annual report on Form 10-K for the year ended December 31, 2021 (File No. 001-40797))</w:t>
            </w:r>
          </w:p>
        </w:tc>
      </w:tr>
      <w:tr>
        <w:trPr>
          <w:trHeight w:val="259"/>
        </w:trPr>
        <w:tc>
          <w:tcPr>
            <w:tcW w:w="124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00" w:type="dxa"/>
            <w:vAlign w:val="bottom"/>
          </w:tcPr>
          <w:p>
            <w:pPr>
              <w:spacing w:after="0"/>
              <w:rPr>
                <w:sz w:val="22"/>
                <w:szCs w:val="22"/>
                <w:color w:val="auto"/>
              </w:rPr>
            </w:pPr>
          </w:p>
        </w:tc>
        <w:tc>
          <w:tcPr>
            <w:tcW w:w="8920" w:type="dxa"/>
            <w:vAlign w:val="bottom"/>
            <w:tcBorders>
              <w:bottom w:val="single" w:sz="8" w:color="0000FF"/>
            </w:tcBorders>
            <w:gridSpan w:val="16"/>
          </w:tcPr>
          <w:p>
            <w:pPr>
              <w:spacing w:after="0"/>
              <w:rPr>
                <w:rFonts w:ascii="Arial" w:cs="Arial" w:eastAsia="Arial" w:hAnsi="Arial"/>
                <w:sz w:val="17"/>
                <w:szCs w:val="17"/>
                <w:color w:val="0000FF"/>
                <w:w w:val="90"/>
              </w:rPr>
            </w:pPr>
            <w:hyperlink r:id="rId155">
              <w:r>
                <w:rPr>
                  <w:rFonts w:ascii="Arial" w:cs="Arial" w:eastAsia="Arial" w:hAnsi="Arial"/>
                  <w:sz w:val="17"/>
                  <w:szCs w:val="17"/>
                  <w:color w:val="0000FF"/>
                  <w:w w:val="90"/>
                </w:rPr>
                <w:t>Amended and Restated Investor Rights Agreement, by and among the Registrant and the investors named therein and the founder</w:t>
              </w:r>
            </w:hyperlink>
          </w:p>
        </w:tc>
        <w:tc>
          <w:tcPr>
            <w:tcW w:w="360" w:type="dxa"/>
            <w:vAlign w:val="bottom"/>
            <w:gridSpan w:val="5"/>
          </w:tcPr>
          <w:p>
            <w:pPr>
              <w:spacing w:after="0"/>
              <w:rPr>
                <w:sz w:val="22"/>
                <w:szCs w:val="22"/>
                <w:color w:val="auto"/>
              </w:rPr>
            </w:pPr>
          </w:p>
        </w:tc>
      </w:tr>
      <w:tr>
        <w:trPr>
          <w:trHeight w:val="173"/>
        </w:trPr>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80" w:type="dxa"/>
            <w:vAlign w:val="bottom"/>
            <w:gridSpan w:val="21"/>
          </w:tcPr>
          <w:p>
            <w:pPr>
              <w:spacing w:after="0" w:line="173"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 xml:space="preserve">named therein, dated June 10, 2021 </w:t>
              </w:r>
              <w:r>
                <w:rPr>
                  <w:rFonts w:ascii="Arial" w:cs="Arial" w:eastAsia="Arial" w:hAnsi="Arial"/>
                  <w:sz w:val="17"/>
                  <w:szCs w:val="17"/>
                  <w:color w:val="000000"/>
                  <w:w w:val="93"/>
                </w:rPr>
                <w:t>(incorporated by reference to Exhibit 10.9 to the registrant’s registration statement on Form S</w:t>
              </w:r>
            </w:hyperlink>
            <w:r>
              <w:rPr>
                <w:rFonts w:ascii="Arial" w:cs="Arial" w:eastAsia="Arial" w:hAnsi="Arial"/>
                <w:sz w:val="17"/>
                <w:szCs w:val="17"/>
                <w:color w:val="0000FF"/>
                <w:w w:val="93"/>
              </w:rPr>
              <w:t>-</w:t>
            </w:r>
            <w:r>
              <w:rPr>
                <w:rFonts w:ascii="Arial" w:cs="Arial" w:eastAsia="Arial" w:hAnsi="Arial"/>
                <w:sz w:val="17"/>
                <w:szCs w:val="17"/>
                <w:color w:val="000000"/>
                <w:w w:val="93"/>
              </w:rPr>
              <w:t>1</w:t>
            </w:r>
          </w:p>
        </w:tc>
      </w:tr>
      <w:tr>
        <w:trPr>
          <w:trHeight w:val="210"/>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(File No. 333-258898))</w:t>
            </w:r>
          </w:p>
        </w:tc>
        <w:tc>
          <w:tcPr>
            <w:tcW w:w="6840" w:type="dxa"/>
            <w:vAlign w:val="bottom"/>
            <w:gridSpan w:val="17"/>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20"/>
          </w:cols>
          <w:pgMar w:left="320" w:top="282" w:right="959" w:bottom="1440" w:gutter="0" w:footer="0" w:header="0"/>
        </w:sectPr>
      </w:pPr>
    </w:p>
    <w:bookmarkStart w:id="123" w:name="page124"/>
    <w:bookmarkEnd w:id="1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10.10+</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10.11+</w:t>
      </w:r>
    </w:p>
    <w:p>
      <w:pPr>
        <w:spacing w:after="0" w:line="34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10.11(a)+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spacing w:after="0" w:line="264" w:lineRule="auto"/>
        <w:rPr>
          <w:rFonts w:ascii="Arial" w:cs="Arial" w:eastAsia="Arial" w:hAnsi="Arial"/>
          <w:sz w:val="17"/>
          <w:szCs w:val="17"/>
          <w:color w:val="0000FF"/>
        </w:rPr>
      </w:pPr>
      <w:hyperlink r:id="rId157">
        <w:r>
          <w:rPr>
            <w:rFonts w:ascii="Arial" w:cs="Arial" w:eastAsia="Arial" w:hAnsi="Arial"/>
            <w:sz w:val="17"/>
            <w:szCs w:val="17"/>
            <w:u w:val="single" w:color="auto"/>
            <w:color w:val="0000FF"/>
          </w:rPr>
          <w:t>Non-Employee Director Compensation Program</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by reference to Exhibit 10.10 to the registrant’s registration statement</w:t>
      </w:r>
      <w:r>
        <w:rPr>
          <w:rFonts w:ascii="Arial" w:cs="Arial" w:eastAsia="Arial" w:hAnsi="Arial"/>
          <w:sz w:val="17"/>
          <w:szCs w:val="17"/>
          <w:color w:val="0000FF"/>
        </w:rPr>
        <w:t xml:space="preserve"> </w:t>
      </w:r>
      <w:r>
        <w:rPr>
          <w:rFonts w:ascii="Arial" w:cs="Arial" w:eastAsia="Arial" w:hAnsi="Arial"/>
          <w:sz w:val="17"/>
          <w:szCs w:val="17"/>
          <w:color w:val="000000"/>
        </w:rPr>
        <w:t>on Form S-1 (File No. 333-258898))</w:t>
      </w:r>
    </w:p>
    <w:p>
      <w:pPr>
        <w:spacing w:after="0" w:line="99" w:lineRule="exact"/>
        <w:rPr>
          <w:sz w:val="20"/>
          <w:szCs w:val="20"/>
          <w:color w:val="auto"/>
        </w:rPr>
      </w:pPr>
    </w:p>
    <w:p>
      <w:pPr>
        <w:ind w:right="180"/>
        <w:spacing w:after="0" w:line="264" w:lineRule="auto"/>
        <w:rPr>
          <w:rFonts w:ascii="Arial" w:cs="Arial" w:eastAsia="Arial" w:hAnsi="Arial"/>
          <w:sz w:val="17"/>
          <w:szCs w:val="17"/>
          <w:color w:val="0000FF"/>
        </w:rPr>
      </w:pPr>
      <w:hyperlink r:id="rId158">
        <w:r>
          <w:rPr>
            <w:rFonts w:ascii="Arial" w:cs="Arial" w:eastAsia="Arial" w:hAnsi="Arial"/>
            <w:sz w:val="17"/>
            <w:szCs w:val="17"/>
            <w:u w:val="single" w:color="auto"/>
            <w:color w:val="0000FF"/>
          </w:rPr>
          <w:t>2021 Equity Incentive Award Plan</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by reference to Exhibit 10.11 to the registrant’s registration statement on Form S-1</w:t>
      </w:r>
      <w:r>
        <w:rPr>
          <w:rFonts w:ascii="Arial" w:cs="Arial" w:eastAsia="Arial" w:hAnsi="Arial"/>
          <w:sz w:val="17"/>
          <w:szCs w:val="17"/>
          <w:color w:val="0000FF"/>
        </w:rPr>
        <w:t xml:space="preserve"> </w:t>
      </w:r>
      <w:r>
        <w:rPr>
          <w:rFonts w:ascii="Arial" w:cs="Arial" w:eastAsia="Arial" w:hAnsi="Arial"/>
          <w:sz w:val="17"/>
          <w:szCs w:val="17"/>
          <w:color w:val="000000"/>
        </w:rPr>
        <w:t>(File No. 333-258898))</w:t>
      </w:r>
    </w:p>
    <w:p>
      <w:pPr>
        <w:spacing w:after="0" w:line="124" w:lineRule="exact"/>
        <w:rPr>
          <w:sz w:val="20"/>
          <w:szCs w:val="20"/>
          <w:color w:val="auto"/>
        </w:rPr>
      </w:pPr>
    </w:p>
    <w:p>
      <w:pPr>
        <w:ind w:right="180"/>
        <w:spacing w:after="0" w:line="264" w:lineRule="auto"/>
        <w:rPr>
          <w:rFonts w:ascii="Arial" w:cs="Arial" w:eastAsia="Arial" w:hAnsi="Arial"/>
          <w:sz w:val="17"/>
          <w:szCs w:val="17"/>
          <w:color w:val="0000FF"/>
        </w:rPr>
      </w:pPr>
      <w:hyperlink r:id="rId159">
        <w:r>
          <w:rPr>
            <w:rFonts w:ascii="Arial" w:cs="Arial" w:eastAsia="Arial" w:hAnsi="Arial"/>
            <w:sz w:val="17"/>
            <w:szCs w:val="17"/>
            <w:u w:val="single" w:color="auto"/>
            <w:color w:val="0000FF"/>
          </w:rPr>
          <w:t>Form of Stock Option Agreement under the 2021 Equity Incentive Award Plan</w:t>
        </w:r>
        <w:r>
          <w:rPr>
            <w:rFonts w:ascii="Arial" w:cs="Arial" w:eastAsia="Arial" w:hAnsi="Arial"/>
            <w:sz w:val="17"/>
            <w:szCs w:val="17"/>
            <w:color w:val="0000FF"/>
          </w:rPr>
          <w:t xml:space="preserv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by reference to Exhibit 10.11(a) to the</w:t>
      </w:r>
      <w:r>
        <w:rPr>
          <w:rFonts w:ascii="Arial" w:cs="Arial" w:eastAsia="Arial" w:hAnsi="Arial"/>
          <w:sz w:val="17"/>
          <w:szCs w:val="17"/>
          <w:color w:val="0000FF"/>
        </w:rPr>
        <w:t xml:space="preserve"> </w:t>
      </w:r>
      <w:r>
        <w:rPr>
          <w:rFonts w:ascii="Arial" w:cs="Arial" w:eastAsia="Arial" w:hAnsi="Arial"/>
          <w:sz w:val="17"/>
          <w:szCs w:val="17"/>
          <w:color w:val="000000"/>
        </w:rPr>
        <w:t>registrant’s registration statement on Form S-1 (File No. 333-258898))</w:t>
      </w:r>
    </w:p>
    <w:p>
      <w:pPr>
        <w:spacing w:after="0" w:line="99" w:lineRule="exact"/>
        <w:rPr>
          <w:sz w:val="20"/>
          <w:szCs w:val="20"/>
          <w:color w:val="auto"/>
        </w:rPr>
      </w:pPr>
    </w:p>
    <w:p>
      <w:pPr>
        <w:sectPr>
          <w:pgSz w:w="11900" w:h="16838" w:orient="portrait"/>
          <w:cols w:equalWidth="0" w:num="2">
            <w:col w:w="1220" w:space="120"/>
            <w:col w:w="9240"/>
          </w:cols>
          <w:pgMar w:left="320" w:top="282" w:right="999" w:bottom="1440" w:gutter="0" w:footer="0" w:header="0"/>
        </w:sectPr>
      </w:pPr>
    </w:p>
    <w:p>
      <w:pPr>
        <w:ind w:left="280"/>
        <w:spacing w:after="0"/>
        <w:tabs>
          <w:tab w:leader="none" w:pos="1320" w:val="left"/>
        </w:tabs>
        <w:rPr>
          <w:rFonts w:ascii="Arial" w:cs="Arial" w:eastAsia="Arial" w:hAnsi="Arial"/>
          <w:sz w:val="15"/>
          <w:szCs w:val="15"/>
          <w:u w:val="single" w:color="auto"/>
          <w:color w:val="0000FF"/>
        </w:rPr>
      </w:pPr>
      <w:r>
        <w:rPr>
          <w:rFonts w:ascii="Arial" w:cs="Arial" w:eastAsia="Arial" w:hAnsi="Arial"/>
          <w:sz w:val="17"/>
          <w:szCs w:val="17"/>
          <w:color w:val="auto"/>
        </w:rPr>
        <w:t>10.11(b)+</w:t>
      </w:r>
      <w:r>
        <w:rPr>
          <w:sz w:val="20"/>
          <w:szCs w:val="20"/>
          <w:color w:val="auto"/>
        </w:rPr>
        <w:tab/>
      </w:r>
      <w:hyperlink r:id="rId160">
        <w:r>
          <w:rPr>
            <w:rFonts w:ascii="Arial" w:cs="Arial" w:eastAsia="Arial" w:hAnsi="Arial"/>
            <w:sz w:val="15"/>
            <w:szCs w:val="15"/>
            <w:u w:val="single" w:color="auto"/>
            <w:color w:val="0000FF"/>
          </w:rPr>
          <w:t xml:space="preserve">Form of Restricted Stock Unit Agreement under the 2021 Equity Incentive Award Plan </w:t>
        </w:r>
      </w:hyperlink>
      <w:r>
        <w:rPr>
          <w:rFonts w:ascii="Arial" w:cs="Arial" w:eastAsia="Arial" w:hAnsi="Arial"/>
          <w:sz w:val="15"/>
          <w:szCs w:val="15"/>
          <w:color w:val="000000"/>
        </w:rPr>
        <w:t>(incorporated</w:t>
      </w:r>
      <w:r>
        <w:rPr>
          <w:rFonts w:ascii="Arial" w:cs="Arial" w:eastAsia="Arial" w:hAnsi="Arial"/>
          <w:sz w:val="15"/>
          <w:szCs w:val="15"/>
          <w:u w:val="single" w:color="auto"/>
          <w:color w:val="0000FF"/>
        </w:rPr>
        <w:t xml:space="preserve"> </w:t>
      </w:r>
      <w:r>
        <w:rPr>
          <w:rFonts w:ascii="Arial" w:cs="Arial" w:eastAsia="Arial" w:hAnsi="Arial"/>
          <w:sz w:val="15"/>
          <w:szCs w:val="15"/>
          <w:color w:val="000000"/>
        </w:rPr>
        <w:t>by reference to Exhibit 10.11(b)</w:t>
      </w:r>
    </w:p>
    <w:p>
      <w:pPr>
        <w:spacing w:after="0" w:line="12"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to the registrant’s registration statement on Form S-1 (File No. 333-258898))</w:t>
      </w:r>
    </w:p>
    <w:p>
      <w:pPr>
        <w:spacing w:after="0" w:line="139" w:lineRule="exact"/>
        <w:rPr>
          <w:sz w:val="20"/>
          <w:szCs w:val="20"/>
          <w:color w:val="auto"/>
        </w:rPr>
      </w:pPr>
    </w:p>
    <w:p>
      <w:pPr>
        <w:ind w:left="1340" w:hanging="967"/>
        <w:spacing w:after="0" w:line="264" w:lineRule="auto"/>
        <w:tabs>
          <w:tab w:leader="none" w:pos="132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161">
        <w:r>
          <w:rPr>
            <w:rFonts w:ascii="Arial" w:cs="Arial" w:eastAsia="Arial" w:hAnsi="Arial"/>
            <w:sz w:val="17"/>
            <w:szCs w:val="17"/>
            <w:u w:val="single" w:color="auto"/>
            <w:color w:val="0000FF"/>
          </w:rPr>
          <w:t xml:space="preserve">2021 Employee Stock Purchase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by reference to Exhibit 10.12 to the registrant’s registration statement on Form S-1</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(File No. 333-258898))</w:t>
      </w:r>
    </w:p>
    <w:p>
      <w:pPr>
        <w:sectPr>
          <w:pgSz w:w="11900" w:h="16838" w:orient="portrait"/>
          <w:cols w:equalWidth="0" w:num="1">
            <w:col w:w="10580"/>
          </w:cols>
          <w:pgMar w:left="320" w:top="282" w:right="999" w:bottom="1440" w:gutter="0" w:footer="0" w:header="0"/>
          <w:type w:val="continuous"/>
        </w:sectPr>
      </w:pPr>
    </w:p>
    <w:p>
      <w:pPr>
        <w:spacing w:after="0" w:line="9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10.13+</w:t>
      </w:r>
    </w:p>
    <w:p>
      <w:pPr>
        <w:spacing w:after="0" w:line="200" w:lineRule="exact"/>
        <w:rPr>
          <w:sz w:val="20"/>
          <w:szCs w:val="20"/>
          <w:color w:val="auto"/>
        </w:rPr>
      </w:pPr>
    </w:p>
    <w:p>
      <w:pPr>
        <w:spacing w:after="0" w:line="375" w:lineRule="exact"/>
        <w:rPr>
          <w:sz w:val="20"/>
          <w:szCs w:val="20"/>
          <w:color w:val="auto"/>
        </w:rPr>
      </w:pPr>
    </w:p>
    <w:p>
      <w:pPr>
        <w:ind w:left="380"/>
        <w:spacing w:after="0"/>
        <w:rPr>
          <w:sz w:val="20"/>
          <w:szCs w:val="20"/>
          <w:color w:val="auto"/>
        </w:rPr>
      </w:pPr>
      <w:r>
        <w:rPr>
          <w:rFonts w:ascii="Arial" w:cs="Arial" w:eastAsia="Arial" w:hAnsi="Arial"/>
          <w:sz w:val="15"/>
          <w:szCs w:val="15"/>
          <w:color w:val="auto"/>
        </w:rPr>
        <w:t>10.14+</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140"/>
        <w:spacing w:after="0" w:line="285" w:lineRule="auto"/>
        <w:rPr>
          <w:rFonts w:ascii="Arial" w:cs="Arial" w:eastAsia="Arial" w:hAnsi="Arial"/>
          <w:sz w:val="15"/>
          <w:szCs w:val="15"/>
          <w:color w:val="0000FF"/>
        </w:rPr>
      </w:pPr>
      <w:hyperlink r:id="rId162">
        <w:r>
          <w:rPr>
            <w:rFonts w:ascii="Arial" w:cs="Arial" w:eastAsia="Arial" w:hAnsi="Arial"/>
            <w:sz w:val="15"/>
            <w:szCs w:val="15"/>
            <w:u w:val="single" w:color="auto"/>
            <w:color w:val="0000FF"/>
          </w:rPr>
          <w:t>Amended and Restated Change of Control Severance Agreement, by and between the Registrant and Reza Zadno, Ph.D., dated</w:t>
        </w:r>
      </w:hyperlink>
      <w:r>
        <w:rPr>
          <w:rFonts w:ascii="Arial" w:cs="Arial" w:eastAsia="Arial" w:hAnsi="Arial"/>
          <w:sz w:val="15"/>
          <w:szCs w:val="15"/>
          <w:u w:val="single" w:color="auto"/>
          <w:color w:val="0000FF"/>
        </w:rPr>
        <w:t xml:space="preserve"> </w:t>
      </w:r>
      <w:hyperlink r:id="rId162">
        <w:r>
          <w:rPr>
            <w:rFonts w:ascii="Arial" w:cs="Arial" w:eastAsia="Arial" w:hAnsi="Arial"/>
            <w:sz w:val="15"/>
            <w:szCs w:val="15"/>
            <w:u w:val="single" w:color="auto"/>
            <w:color w:val="0000FF"/>
          </w:rPr>
          <w:t>September 17, 2021</w:t>
        </w:r>
        <w:r>
          <w:rPr>
            <w:rFonts w:ascii="Arial" w:cs="Arial" w:eastAsia="Arial" w:hAnsi="Arial"/>
            <w:sz w:val="15"/>
            <w:szCs w:val="15"/>
            <w:color w:val="0000FF"/>
          </w:rPr>
          <w:t xml:space="preserve"> </w:t>
        </w:r>
        <w:r>
          <w:rPr>
            <w:rFonts w:ascii="Arial" w:cs="Arial" w:eastAsia="Arial" w:hAnsi="Arial"/>
            <w:sz w:val="15"/>
            <w:szCs w:val="15"/>
            <w:color w:val="000000"/>
          </w:rPr>
          <w:t xml:space="preserve">(incorporated by reference to Exhibit 10.13 to the registrant’s registration statement on Form S-1 (File No. </w:t>
        </w:r>
      </w:hyperlink>
      <w:r>
        <w:rPr>
          <w:rFonts w:ascii="Arial" w:cs="Arial" w:eastAsia="Arial" w:hAnsi="Arial"/>
          <w:sz w:val="15"/>
          <w:szCs w:val="15"/>
          <w:color w:val="0000FF"/>
        </w:rPr>
        <w:t>333</w:t>
      </w:r>
      <w:r>
        <w:rPr>
          <w:rFonts w:ascii="Arial" w:cs="Arial" w:eastAsia="Arial" w:hAnsi="Arial"/>
          <w:sz w:val="15"/>
          <w:szCs w:val="15"/>
          <w:color w:val="000000"/>
        </w:rPr>
        <w: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258898))</w:t>
      </w:r>
    </w:p>
    <w:p>
      <w:pPr>
        <w:spacing w:after="0" w:line="142" w:lineRule="exact"/>
        <w:rPr>
          <w:sz w:val="20"/>
          <w:szCs w:val="20"/>
          <w:color w:val="auto"/>
        </w:rPr>
      </w:pPr>
    </w:p>
    <w:p>
      <w:pPr>
        <w:ind w:right="80"/>
        <w:spacing w:after="0" w:line="331" w:lineRule="auto"/>
        <w:rPr>
          <w:rFonts w:ascii="Arial" w:cs="Arial" w:eastAsia="Arial" w:hAnsi="Arial"/>
          <w:sz w:val="15"/>
          <w:szCs w:val="15"/>
          <w:color w:val="0000FF"/>
        </w:rPr>
      </w:pPr>
      <w:hyperlink r:id="rId163">
        <w:r>
          <w:rPr>
            <w:rFonts w:ascii="Arial" w:cs="Arial" w:eastAsia="Arial" w:hAnsi="Arial"/>
            <w:sz w:val="15"/>
            <w:szCs w:val="15"/>
            <w:u w:val="single" w:color="auto"/>
            <w:color w:val="0000FF"/>
          </w:rPr>
          <w:t>Amended and Restated Change of Control Severance Agreement, by and between the Registrant and Kevin Waters, dated September</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17, 2021</w:t>
        </w:r>
        <w:r>
          <w:rPr>
            <w:rFonts w:ascii="Arial" w:cs="Arial" w:eastAsia="Arial" w:hAnsi="Arial"/>
            <w:sz w:val="15"/>
            <w:szCs w:val="15"/>
            <w:color w:val="0000FF"/>
          </w:rPr>
          <w:t xml:space="preserve"> </w:t>
        </w:r>
        <w:r>
          <w:rPr>
            <w:rFonts w:ascii="Arial" w:cs="Arial" w:eastAsia="Arial" w:hAnsi="Arial"/>
            <w:sz w:val="15"/>
            <w:szCs w:val="15"/>
            <w:color w:val="000000"/>
          </w:rPr>
          <w:t>(incorporated by reference to Exhibit 10.14 to the registrant’s registration statement on Form S-1 (File No. 333-258898))</w:t>
        </w:r>
      </w:hyperlink>
    </w:p>
    <w:p>
      <w:pPr>
        <w:spacing w:after="0" w:line="50" w:lineRule="exact"/>
        <w:rPr>
          <w:sz w:val="20"/>
          <w:szCs w:val="20"/>
          <w:color w:val="auto"/>
        </w:rPr>
      </w:pPr>
    </w:p>
    <w:p>
      <w:pPr>
        <w:sectPr>
          <w:pgSz w:w="11900" w:h="16838" w:orient="portrait"/>
          <w:cols w:equalWidth="0" w:num="2">
            <w:col w:w="860" w:space="480"/>
            <w:col w:w="9240"/>
          </w:cols>
          <w:pgMar w:left="320" w:top="282" w:right="999" w:bottom="1440" w:gutter="0" w:footer="0" w:header="0"/>
          <w:type w:val="continuous"/>
        </w:sectPr>
      </w:pPr>
    </w:p>
    <w:tbl>
      <w:tblPr>
        <w:tblLayout w:type="fixed"/>
        <w:tblInd w:w="300" w:type="dxa"/>
        <w:tblCellMar>
          <w:top w:w="0" w:type="dxa"/>
          <w:left w:w="0" w:type="dxa"/>
          <w:bottom w:w="0" w:type="dxa"/>
          <w:right w:w="0" w:type="dxa"/>
        </w:tblCellMar>
      </w:tblPr>
      <w:tr>
        <w:trPr>
          <w:trHeight w:val="19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1"/>
              </w:rPr>
              <w:t>10.15+</w:t>
            </w:r>
          </w:p>
        </w:tc>
        <w:tc>
          <w:tcPr>
            <w:tcW w:w="8540" w:type="dxa"/>
            <w:vAlign w:val="bottom"/>
            <w:tcBorders>
              <w:bottom w:val="single" w:sz="8" w:color="0000FF"/>
            </w:tcBorders>
            <w:gridSpan w:val="8"/>
          </w:tcPr>
          <w:p>
            <w:pPr>
              <w:spacing w:after="0"/>
              <w:rPr>
                <w:rFonts w:ascii="Arial" w:cs="Arial" w:eastAsia="Arial" w:hAnsi="Arial"/>
                <w:sz w:val="17"/>
                <w:szCs w:val="17"/>
                <w:color w:val="0000FF"/>
                <w:w w:val="90"/>
              </w:rPr>
            </w:pPr>
            <w:hyperlink r:id="rId164">
              <w:r>
                <w:rPr>
                  <w:rFonts w:ascii="Arial" w:cs="Arial" w:eastAsia="Arial" w:hAnsi="Arial"/>
                  <w:sz w:val="17"/>
                  <w:szCs w:val="17"/>
                  <w:color w:val="0000FF"/>
                  <w:w w:val="90"/>
                </w:rPr>
                <w:t>Amended and Restated Change of Control Severance Agreement, by and between the Registrant and Hisham Shiblaq, dated</w:t>
              </w:r>
            </w:hyperlink>
          </w:p>
        </w:tc>
        <w:tc>
          <w:tcPr>
            <w:tcW w:w="680" w:type="dxa"/>
            <w:vAlign w:val="bottom"/>
            <w:gridSpan w:val="7"/>
          </w:tcPr>
          <w:p>
            <w:pPr>
              <w:spacing w:after="0"/>
              <w:rPr>
                <w:sz w:val="16"/>
                <w:szCs w:val="16"/>
                <w:color w:val="auto"/>
              </w:rPr>
            </w:pPr>
          </w:p>
        </w:tc>
      </w:tr>
      <w:tr>
        <w:trPr>
          <w:trHeight w:val="173"/>
        </w:trPr>
        <w:tc>
          <w:tcPr>
            <w:tcW w:w="1040" w:type="dxa"/>
            <w:vAlign w:val="bottom"/>
          </w:tcPr>
          <w:p>
            <w:pPr>
              <w:spacing w:after="0"/>
              <w:rPr>
                <w:sz w:val="15"/>
                <w:szCs w:val="15"/>
                <w:color w:val="auto"/>
              </w:rPr>
            </w:pPr>
          </w:p>
        </w:tc>
        <w:tc>
          <w:tcPr>
            <w:tcW w:w="9220" w:type="dxa"/>
            <w:vAlign w:val="bottom"/>
            <w:gridSpan w:val="15"/>
          </w:tcPr>
          <w:p>
            <w:pPr>
              <w:spacing w:after="0" w:line="173" w:lineRule="exact"/>
              <w:rPr>
                <w:rFonts w:ascii="Arial" w:cs="Arial" w:eastAsia="Arial" w:hAnsi="Arial"/>
                <w:sz w:val="17"/>
                <w:szCs w:val="17"/>
                <w:color w:val="0000FF"/>
                <w:w w:val="92"/>
              </w:rPr>
            </w:pPr>
            <w:hyperlink r:id="rId164">
              <w:r>
                <w:rPr>
                  <w:rFonts w:ascii="Arial" w:cs="Arial" w:eastAsia="Arial" w:hAnsi="Arial"/>
                  <w:sz w:val="17"/>
                  <w:szCs w:val="17"/>
                  <w:color w:val="0000FF"/>
                  <w:w w:val="92"/>
                </w:rPr>
                <w:t xml:space="preserve">September 17, 2021 </w:t>
              </w:r>
              <w:r>
                <w:rPr>
                  <w:rFonts w:ascii="Arial" w:cs="Arial" w:eastAsia="Arial" w:hAnsi="Arial"/>
                  <w:sz w:val="17"/>
                  <w:szCs w:val="17"/>
                  <w:color w:val="000000"/>
                  <w:w w:val="92"/>
                </w:rPr>
                <w:t xml:space="preserve">(incorporated by reference to Exhibit 10.15 to the registrant’s registration statement on Form S-1 (File </w:t>
              </w:r>
            </w:hyperlink>
            <w:r>
              <w:rPr>
                <w:rFonts w:ascii="Arial" w:cs="Arial" w:eastAsia="Arial" w:hAnsi="Arial"/>
                <w:sz w:val="17"/>
                <w:szCs w:val="17"/>
                <w:color w:val="0000FF"/>
                <w:w w:val="92"/>
              </w:rPr>
              <w:t xml:space="preserve">No. </w:t>
            </w:r>
            <w:r>
              <w:rPr>
                <w:rFonts w:ascii="Arial" w:cs="Arial" w:eastAsia="Arial" w:hAnsi="Arial"/>
                <w:sz w:val="17"/>
                <w:szCs w:val="17"/>
                <w:color w:val="000000"/>
                <w:w w:val="92"/>
              </w:rPr>
              <w:t>333-</w:t>
            </w:r>
          </w:p>
        </w:tc>
      </w:tr>
      <w:tr>
        <w:trPr>
          <w:trHeight w:val="223"/>
        </w:trPr>
        <w:tc>
          <w:tcPr>
            <w:tcW w:w="1040" w:type="dxa"/>
            <w:vAlign w:val="bottom"/>
          </w:tcPr>
          <w:p>
            <w:pPr>
              <w:spacing w:after="0"/>
              <w:rPr>
                <w:sz w:val="19"/>
                <w:szCs w:val="19"/>
                <w:color w:val="auto"/>
              </w:rPr>
            </w:pPr>
          </w:p>
        </w:tc>
        <w:tc>
          <w:tcPr>
            <w:tcW w:w="660" w:type="dxa"/>
            <w:vAlign w:val="bottom"/>
            <w:tcBorders>
              <w:top w:val="single" w:sz="8" w:color="0000FF"/>
            </w:tcBorders>
          </w:tcPr>
          <w:p>
            <w:pPr>
              <w:spacing w:after="0"/>
              <w:rPr>
                <w:sz w:val="20"/>
                <w:szCs w:val="20"/>
                <w:color w:val="auto"/>
              </w:rPr>
            </w:pPr>
            <w:r>
              <w:rPr>
                <w:rFonts w:ascii="Arial" w:cs="Arial" w:eastAsia="Arial" w:hAnsi="Arial"/>
                <w:sz w:val="17"/>
                <w:szCs w:val="17"/>
                <w:color w:val="auto"/>
                <w:w w:val="93"/>
              </w:rPr>
              <w:t>258898))</w:t>
            </w:r>
          </w:p>
        </w:tc>
        <w:tc>
          <w:tcPr>
            <w:tcW w:w="6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3"/>
              </w:rPr>
              <w:t>10.16</w:t>
            </w:r>
          </w:p>
        </w:tc>
        <w:tc>
          <w:tcPr>
            <w:tcW w:w="9220" w:type="dxa"/>
            <w:vAlign w:val="bottom"/>
            <w:gridSpan w:val="15"/>
          </w:tcPr>
          <w:p>
            <w:pPr>
              <w:spacing w:after="0"/>
              <w:rPr>
                <w:rFonts w:ascii="Arial" w:cs="Arial" w:eastAsia="Arial" w:hAnsi="Arial"/>
                <w:sz w:val="17"/>
                <w:szCs w:val="17"/>
                <w:color w:val="0000FF"/>
                <w:w w:val="96"/>
              </w:rPr>
            </w:pPr>
            <w:hyperlink r:id="rId165">
              <w:r>
                <w:rPr>
                  <w:rFonts w:ascii="Arial" w:cs="Arial" w:eastAsia="Arial" w:hAnsi="Arial"/>
                  <w:sz w:val="17"/>
                  <w:szCs w:val="17"/>
                  <w:color w:val="0000FF"/>
                  <w:w w:val="96"/>
                </w:rPr>
                <w:t>Loan and Security Agreement, by and among Canadian Imperial Bank of Commerce, the Registration, and each Borrower and</w:t>
              </w:r>
            </w:hyperlink>
          </w:p>
        </w:tc>
      </w:tr>
      <w:tr>
        <w:trPr>
          <w:trHeight w:val="148"/>
        </w:trPr>
        <w:tc>
          <w:tcPr>
            <w:tcW w:w="1040" w:type="dxa"/>
            <w:vAlign w:val="bottom"/>
          </w:tcPr>
          <w:p>
            <w:pPr>
              <w:spacing w:after="0"/>
              <w:rPr>
                <w:sz w:val="12"/>
                <w:szCs w:val="12"/>
                <w:color w:val="auto"/>
              </w:rPr>
            </w:pPr>
          </w:p>
        </w:tc>
        <w:tc>
          <w:tcPr>
            <w:tcW w:w="8700" w:type="dxa"/>
            <w:vAlign w:val="bottom"/>
            <w:tcBorders>
              <w:top w:val="single" w:sz="8" w:color="0000FF"/>
            </w:tcBorders>
            <w:gridSpan w:val="9"/>
          </w:tcPr>
          <w:p>
            <w:pPr>
              <w:spacing w:after="0" w:line="148" w:lineRule="exact"/>
              <w:rPr>
                <w:rFonts w:ascii="Arial" w:cs="Arial" w:eastAsia="Arial" w:hAnsi="Arial"/>
                <w:sz w:val="17"/>
                <w:szCs w:val="17"/>
                <w:color w:val="0000FF"/>
                <w:w w:val="92"/>
              </w:rPr>
            </w:pPr>
            <w:hyperlink r:id="rId165">
              <w:r>
                <w:rPr>
                  <w:rFonts w:ascii="Arial" w:cs="Arial" w:eastAsia="Arial" w:hAnsi="Arial"/>
                  <w:sz w:val="17"/>
                  <w:szCs w:val="17"/>
                  <w:color w:val="0000FF"/>
                  <w:w w:val="92"/>
                </w:rPr>
                <w:t xml:space="preserve">Guarantor from time to time, dated as of October 6, 2022 </w:t>
              </w:r>
              <w:r>
                <w:rPr>
                  <w:rFonts w:ascii="Arial" w:cs="Arial" w:eastAsia="Arial" w:hAnsi="Arial"/>
                  <w:sz w:val="17"/>
                  <w:szCs w:val="17"/>
                  <w:color w:val="000000"/>
                  <w:w w:val="92"/>
                </w:rPr>
                <w:t>(incorporated by reference to Exhibit 10.1 to the registrant’s current</w:t>
              </w:r>
            </w:hyperlink>
          </w:p>
        </w:tc>
        <w:tc>
          <w:tcPr>
            <w:tcW w:w="520" w:type="dxa"/>
            <w:vAlign w:val="bottom"/>
            <w:gridSpan w:val="6"/>
          </w:tcPr>
          <w:p>
            <w:pPr>
              <w:spacing w:after="0" w:line="148" w:lineRule="exact"/>
              <w:rPr>
                <w:sz w:val="20"/>
                <w:szCs w:val="20"/>
                <w:color w:val="auto"/>
              </w:rPr>
            </w:pPr>
            <w:r>
              <w:rPr>
                <w:rFonts w:ascii="Arial" w:cs="Arial" w:eastAsia="Arial" w:hAnsi="Arial"/>
                <w:sz w:val="17"/>
                <w:szCs w:val="17"/>
                <w:color w:val="auto"/>
              </w:rPr>
              <w:t>report</w:t>
            </w:r>
          </w:p>
        </w:tc>
      </w:tr>
      <w:tr>
        <w:trPr>
          <w:trHeight w:val="210"/>
        </w:trPr>
        <w:tc>
          <w:tcPr>
            <w:tcW w:w="1040" w:type="dxa"/>
            <w:vAlign w:val="bottom"/>
          </w:tcPr>
          <w:p>
            <w:pPr>
              <w:spacing w:after="0"/>
              <w:rPr>
                <w:sz w:val="18"/>
                <w:szCs w:val="18"/>
                <w:color w:val="auto"/>
              </w:rPr>
            </w:pPr>
          </w:p>
        </w:tc>
        <w:tc>
          <w:tcPr>
            <w:tcW w:w="398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auto"/>
                <w:w w:val="97"/>
              </w:rPr>
              <w:t>on Form 8-K (File No. 001-40797) filed on October 10,</w:t>
            </w:r>
          </w:p>
        </w:tc>
        <w:tc>
          <w:tcPr>
            <w:tcW w:w="780" w:type="dxa"/>
            <w:vAlign w:val="bottom"/>
          </w:tcPr>
          <w:p>
            <w:pPr>
              <w:jc w:val="right"/>
              <w:ind w:right="405"/>
              <w:spacing w:after="0"/>
              <w:rPr>
                <w:sz w:val="20"/>
                <w:szCs w:val="20"/>
                <w:color w:val="auto"/>
              </w:rPr>
            </w:pPr>
            <w:r>
              <w:rPr>
                <w:rFonts w:ascii="Arial" w:cs="Arial" w:eastAsia="Arial" w:hAnsi="Arial"/>
                <w:sz w:val="15"/>
                <w:szCs w:val="15"/>
                <w:color w:val="auto"/>
                <w:w w:val="72"/>
              </w:rPr>
              <w:t>2022)</w:t>
            </w:r>
          </w:p>
        </w:tc>
        <w:tc>
          <w:tcPr>
            <w:tcW w:w="1380" w:type="dxa"/>
            <w:vAlign w:val="bottom"/>
          </w:tcPr>
          <w:p>
            <w:pPr>
              <w:spacing w:after="0"/>
              <w:rPr>
                <w:sz w:val="18"/>
                <w:szCs w:val="18"/>
                <w:color w:val="auto"/>
              </w:rPr>
            </w:pPr>
          </w:p>
        </w:tc>
        <w:tc>
          <w:tcPr>
            <w:tcW w:w="29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5"/>
              </w:rPr>
              <w:t>10.17*#</w:t>
            </w:r>
          </w:p>
        </w:tc>
        <w:tc>
          <w:tcPr>
            <w:tcW w:w="9220" w:type="dxa"/>
            <w:vAlign w:val="bottom"/>
            <w:gridSpan w:val="15"/>
          </w:tcPr>
          <w:p>
            <w:pPr>
              <w:spacing w:after="0"/>
              <w:rPr>
                <w:sz w:val="20"/>
                <w:szCs w:val="20"/>
                <w:color w:val="auto"/>
              </w:rPr>
            </w:pPr>
            <w:r>
              <w:rPr>
                <w:rFonts w:ascii="Arial" w:cs="Arial" w:eastAsia="Arial" w:hAnsi="Arial"/>
                <w:sz w:val="17"/>
                <w:szCs w:val="17"/>
                <w:color w:val="0000FF"/>
                <w:w w:val="92"/>
              </w:rPr>
              <w:t>Confidential Exclusive Patent License and Covenant Not to Sue, by and between the Registrant and HydroCision, Inc., dated March</w:t>
            </w:r>
          </w:p>
        </w:tc>
      </w:tr>
      <w:tr>
        <w:trPr>
          <w:trHeight w:val="148"/>
        </w:trPr>
        <w:tc>
          <w:tcPr>
            <w:tcW w:w="104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spacing w:after="0" w:line="148" w:lineRule="exact"/>
              <w:rPr>
                <w:sz w:val="20"/>
                <w:szCs w:val="20"/>
                <w:color w:val="auto"/>
              </w:rPr>
            </w:pPr>
            <w:r>
              <w:rPr>
                <w:rFonts w:ascii="Arial" w:cs="Arial" w:eastAsia="Arial" w:hAnsi="Arial"/>
                <w:sz w:val="17"/>
                <w:szCs w:val="17"/>
                <w:color w:val="0000FF"/>
                <w:w w:val="90"/>
              </w:rPr>
              <w:t>14, 2019.</w:t>
            </w:r>
          </w:p>
        </w:tc>
        <w:tc>
          <w:tcPr>
            <w:tcW w:w="68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120" w:type="dxa"/>
            <w:vAlign w:val="bottom"/>
            <w:tcBorders>
              <w:top w:val="single" w:sz="8" w:color="0000FF"/>
            </w:tcBorders>
          </w:tcPr>
          <w:p>
            <w:pPr>
              <w:spacing w:after="0"/>
              <w:rPr>
                <w:sz w:val="12"/>
                <w:szCs w:val="12"/>
                <w:color w:val="auto"/>
              </w:rPr>
            </w:pPr>
          </w:p>
        </w:tc>
        <w:tc>
          <w:tcPr>
            <w:tcW w:w="1480" w:type="dxa"/>
            <w:vAlign w:val="bottom"/>
            <w:tcBorders>
              <w:top w:val="single" w:sz="8" w:color="0000FF"/>
            </w:tcBorders>
          </w:tcPr>
          <w:p>
            <w:pPr>
              <w:spacing w:after="0"/>
              <w:rPr>
                <w:sz w:val="12"/>
                <w:szCs w:val="12"/>
                <w:color w:val="auto"/>
              </w:rPr>
            </w:pPr>
          </w:p>
        </w:tc>
        <w:tc>
          <w:tcPr>
            <w:tcW w:w="78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24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02"/>
        </w:trPr>
        <w:tc>
          <w:tcPr>
            <w:tcW w:w="1040" w:type="dxa"/>
            <w:vAlign w:val="bottom"/>
          </w:tcPr>
          <w:p>
            <w:pPr>
              <w:jc w:val="center"/>
              <w:ind w:right="294"/>
              <w:spacing w:after="0"/>
              <w:rPr>
                <w:sz w:val="20"/>
                <w:szCs w:val="20"/>
                <w:color w:val="auto"/>
              </w:rPr>
            </w:pPr>
            <w:r>
              <w:rPr>
                <w:rFonts w:ascii="Arial" w:cs="Arial" w:eastAsia="Arial" w:hAnsi="Arial"/>
                <w:sz w:val="17"/>
                <w:szCs w:val="17"/>
                <w:color w:val="auto"/>
                <w:w w:val="90"/>
              </w:rPr>
              <w:t>21.1</w:t>
            </w:r>
          </w:p>
        </w:tc>
        <w:tc>
          <w:tcPr>
            <w:tcW w:w="9220" w:type="dxa"/>
            <w:vAlign w:val="bottom"/>
            <w:gridSpan w:val="15"/>
          </w:tcPr>
          <w:p>
            <w:pPr>
              <w:spacing w:after="0"/>
              <w:rPr>
                <w:rFonts w:ascii="Arial" w:cs="Arial" w:eastAsia="Arial" w:hAnsi="Arial"/>
                <w:sz w:val="17"/>
                <w:szCs w:val="17"/>
                <w:color w:val="0000FF"/>
                <w:w w:val="93"/>
              </w:rPr>
            </w:pPr>
            <w:hyperlink r:id="rId166">
              <w:r>
                <w:rPr>
                  <w:rFonts w:ascii="Arial" w:cs="Arial" w:eastAsia="Arial" w:hAnsi="Arial"/>
                  <w:sz w:val="17"/>
                  <w:szCs w:val="17"/>
                  <w:color w:val="0000FF"/>
                  <w:w w:val="93"/>
                </w:rPr>
                <w:t xml:space="preserve">List of subsidiaries of the Registrant </w:t>
              </w:r>
            </w:hyperlink>
            <w:r>
              <w:rPr>
                <w:rFonts w:ascii="Arial" w:cs="Arial" w:eastAsia="Arial" w:hAnsi="Arial"/>
                <w:sz w:val="17"/>
                <w:szCs w:val="17"/>
                <w:color w:val="000000"/>
                <w:w w:val="93"/>
              </w:rPr>
              <w:t>(incorporated</w:t>
            </w:r>
            <w:r>
              <w:rPr>
                <w:rFonts w:ascii="Arial" w:cs="Arial" w:eastAsia="Arial" w:hAnsi="Arial"/>
                <w:sz w:val="17"/>
                <w:szCs w:val="17"/>
                <w:color w:val="0000FF"/>
                <w:w w:val="93"/>
              </w:rPr>
              <w:t xml:space="preserve"> </w:t>
            </w:r>
            <w:r>
              <w:rPr>
                <w:rFonts w:ascii="Arial" w:cs="Arial" w:eastAsia="Arial" w:hAnsi="Arial"/>
                <w:sz w:val="17"/>
                <w:szCs w:val="17"/>
                <w:color w:val="000000"/>
                <w:w w:val="93"/>
              </w:rPr>
              <w:t>by reference to Exhibit 21.1 to the registrant’s registration statement on Form S-1</w:t>
            </w:r>
          </w:p>
        </w:tc>
      </w:tr>
      <w:tr>
        <w:trPr>
          <w:trHeight w:val="210"/>
        </w:trPr>
        <w:tc>
          <w:tcPr>
            <w:tcW w:w="1040" w:type="dxa"/>
            <w:vAlign w:val="bottom"/>
          </w:tcPr>
          <w:p>
            <w:pPr>
              <w:spacing w:after="0"/>
              <w:rPr>
                <w:sz w:val="18"/>
                <w:szCs w:val="18"/>
                <w:color w:val="auto"/>
              </w:rPr>
            </w:pPr>
          </w:p>
        </w:tc>
        <w:tc>
          <w:tcPr>
            <w:tcW w:w="2500" w:type="dxa"/>
            <w:vAlign w:val="bottom"/>
            <w:tcBorders>
              <w:top w:val="single" w:sz="8" w:color="0000FF"/>
            </w:tcBorders>
            <w:gridSpan w:val="4"/>
          </w:tcPr>
          <w:p>
            <w:pPr>
              <w:spacing w:after="0"/>
              <w:rPr>
                <w:sz w:val="20"/>
                <w:szCs w:val="20"/>
                <w:color w:val="auto"/>
              </w:rPr>
            </w:pPr>
            <w:r>
              <w:rPr>
                <w:rFonts w:ascii="Arial" w:cs="Arial" w:eastAsia="Arial" w:hAnsi="Arial"/>
                <w:sz w:val="17"/>
                <w:szCs w:val="17"/>
                <w:color w:val="auto"/>
              </w:rPr>
              <w:t>(File No. 333-258898))</w:t>
            </w:r>
          </w:p>
        </w:tc>
        <w:tc>
          <w:tcPr>
            <w:tcW w:w="226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300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23.1*</w:t>
            </w:r>
          </w:p>
        </w:tc>
        <w:tc>
          <w:tcPr>
            <w:tcW w:w="6140" w:type="dxa"/>
            <w:vAlign w:val="bottom"/>
            <w:tcBorders>
              <w:bottom w:val="single" w:sz="8" w:color="0000FF"/>
            </w:tcBorders>
            <w:gridSpan w:val="7"/>
          </w:tcPr>
          <w:p>
            <w:pPr>
              <w:spacing w:after="0"/>
              <w:rPr>
                <w:sz w:val="20"/>
                <w:szCs w:val="20"/>
                <w:color w:val="auto"/>
              </w:rPr>
            </w:pPr>
            <w:r>
              <w:rPr>
                <w:rFonts w:ascii="Arial" w:cs="Arial" w:eastAsia="Arial" w:hAnsi="Arial"/>
                <w:sz w:val="17"/>
                <w:szCs w:val="17"/>
                <w:color w:val="0000FF"/>
                <w:w w:val="91"/>
              </w:rPr>
              <w:t>Consent of PricewaterhouseCoopers LLP, independent registered public accounting firm.</w:t>
            </w:r>
          </w:p>
        </w:tc>
        <w:tc>
          <w:tcPr>
            <w:tcW w:w="3080" w:type="dxa"/>
            <w:vAlign w:val="bottom"/>
            <w:gridSpan w:val="8"/>
          </w:tcPr>
          <w:p>
            <w:pPr>
              <w:spacing w:after="0"/>
              <w:rPr>
                <w:sz w:val="22"/>
                <w:szCs w:val="22"/>
                <w:color w:val="auto"/>
              </w:rPr>
            </w:pPr>
          </w:p>
        </w:tc>
      </w:tr>
      <w:tr>
        <w:trPr>
          <w:trHeight w:val="327"/>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24.1*</w:t>
            </w:r>
          </w:p>
        </w:tc>
        <w:tc>
          <w:tcPr>
            <w:tcW w:w="9220" w:type="dxa"/>
            <w:vAlign w:val="bottom"/>
            <w:gridSpan w:val="15"/>
          </w:tcPr>
          <w:p>
            <w:pPr>
              <w:spacing w:after="0"/>
              <w:rPr>
                <w:sz w:val="20"/>
                <w:szCs w:val="20"/>
                <w:color w:val="auto"/>
              </w:rPr>
            </w:pPr>
            <w:r>
              <w:rPr>
                <w:rFonts w:ascii="Arial" w:cs="Arial" w:eastAsia="Arial" w:hAnsi="Arial"/>
                <w:sz w:val="17"/>
                <w:szCs w:val="17"/>
                <w:color w:val="auto"/>
              </w:rPr>
              <w:t>Power of Attorney (included on signature page).</w:t>
            </w:r>
          </w:p>
        </w:tc>
      </w:tr>
      <w:tr>
        <w:trPr>
          <w:trHeight w:val="272"/>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31.1**</w:t>
            </w:r>
          </w:p>
        </w:tc>
        <w:tc>
          <w:tcPr>
            <w:tcW w:w="9220" w:type="dxa"/>
            <w:vAlign w:val="bottom"/>
            <w:gridSpan w:val="15"/>
          </w:tcPr>
          <w:p>
            <w:pPr>
              <w:spacing w:after="0"/>
              <w:rPr>
                <w:sz w:val="20"/>
                <w:szCs w:val="20"/>
                <w:color w:val="auto"/>
              </w:rPr>
            </w:pPr>
            <w:r>
              <w:rPr>
                <w:rFonts w:ascii="Arial" w:cs="Arial" w:eastAsia="Arial" w:hAnsi="Arial"/>
                <w:sz w:val="17"/>
                <w:szCs w:val="17"/>
                <w:color w:val="0000FF"/>
                <w:w w:val="92"/>
              </w:rPr>
              <w:t>Certification of Principal Executive Officer Pursuant to Rules 13a-14(a) and 15d-14(a) under the Securities Exchange Act of 1934, as</w:t>
            </w:r>
          </w:p>
        </w:tc>
      </w:tr>
      <w:tr>
        <w:trPr>
          <w:trHeight w:val="148"/>
        </w:trPr>
        <w:tc>
          <w:tcPr>
            <w:tcW w:w="1040" w:type="dxa"/>
            <w:vAlign w:val="bottom"/>
          </w:tcPr>
          <w:p>
            <w:pPr>
              <w:spacing w:after="0"/>
              <w:rPr>
                <w:sz w:val="12"/>
                <w:szCs w:val="12"/>
                <w:color w:val="auto"/>
              </w:rPr>
            </w:pPr>
          </w:p>
        </w:tc>
        <w:tc>
          <w:tcPr>
            <w:tcW w:w="9200" w:type="dxa"/>
            <w:vAlign w:val="bottom"/>
            <w:tcBorders>
              <w:top w:val="single" w:sz="8" w:color="0000FF"/>
            </w:tcBorders>
            <w:gridSpan w:val="14"/>
          </w:tcPr>
          <w:p>
            <w:pPr>
              <w:spacing w:after="0" w:line="148" w:lineRule="exact"/>
              <w:rPr>
                <w:sz w:val="20"/>
                <w:szCs w:val="20"/>
                <w:color w:val="auto"/>
              </w:rPr>
            </w:pPr>
            <w:r>
              <w:rPr>
                <w:rFonts w:ascii="Arial" w:cs="Arial" w:eastAsia="Arial" w:hAnsi="Arial"/>
                <w:sz w:val="17"/>
                <w:szCs w:val="17"/>
                <w:color w:val="0000FF"/>
              </w:rPr>
              <w:t>Adopted Pursuant to Section 302 of the Sarbanes-Oxley Act of 2002.</w:t>
            </w:r>
          </w:p>
        </w:tc>
        <w:tc>
          <w:tcPr>
            <w:tcW w:w="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31.2**</w:t>
            </w:r>
          </w:p>
        </w:tc>
        <w:tc>
          <w:tcPr>
            <w:tcW w:w="9220" w:type="dxa"/>
            <w:vAlign w:val="bottom"/>
            <w:gridSpan w:val="15"/>
          </w:tcPr>
          <w:p>
            <w:pPr>
              <w:spacing w:after="0"/>
              <w:rPr>
                <w:sz w:val="20"/>
                <w:szCs w:val="20"/>
                <w:color w:val="auto"/>
              </w:rPr>
            </w:pPr>
            <w:r>
              <w:rPr>
                <w:rFonts w:ascii="Arial" w:cs="Arial" w:eastAsia="Arial" w:hAnsi="Arial"/>
                <w:sz w:val="17"/>
                <w:szCs w:val="17"/>
                <w:color w:val="0000FF"/>
                <w:w w:val="92"/>
              </w:rPr>
              <w:t>Certification of Principal Financial Officer Pursuant to Rules 13a-14(a) and 15d-14(a) under the Securities Exchange Act of 1934, as</w:t>
            </w:r>
          </w:p>
        </w:tc>
      </w:tr>
      <w:tr>
        <w:trPr>
          <w:trHeight w:val="148"/>
        </w:trPr>
        <w:tc>
          <w:tcPr>
            <w:tcW w:w="1040" w:type="dxa"/>
            <w:vAlign w:val="bottom"/>
          </w:tcPr>
          <w:p>
            <w:pPr>
              <w:spacing w:after="0"/>
              <w:rPr>
                <w:sz w:val="12"/>
                <w:szCs w:val="12"/>
                <w:color w:val="auto"/>
              </w:rPr>
            </w:pPr>
          </w:p>
        </w:tc>
        <w:tc>
          <w:tcPr>
            <w:tcW w:w="9160" w:type="dxa"/>
            <w:vAlign w:val="bottom"/>
            <w:tcBorders>
              <w:top w:val="single" w:sz="8" w:color="0000FF"/>
            </w:tcBorders>
            <w:gridSpan w:val="12"/>
          </w:tcPr>
          <w:p>
            <w:pPr>
              <w:spacing w:after="0" w:line="148" w:lineRule="exact"/>
              <w:rPr>
                <w:sz w:val="20"/>
                <w:szCs w:val="20"/>
                <w:color w:val="auto"/>
              </w:rPr>
            </w:pPr>
            <w:r>
              <w:rPr>
                <w:rFonts w:ascii="Arial" w:cs="Arial" w:eastAsia="Arial" w:hAnsi="Arial"/>
                <w:sz w:val="17"/>
                <w:szCs w:val="17"/>
                <w:color w:val="0000FF"/>
              </w:rPr>
              <w:t>Adopted Pursuant to Section 302 of the Sarbanes-Oxley Act of 2002.</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43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02"/>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32.1**</w:t>
            </w:r>
          </w:p>
        </w:tc>
        <w:tc>
          <w:tcPr>
            <w:tcW w:w="9220" w:type="dxa"/>
            <w:vAlign w:val="bottom"/>
            <w:gridSpan w:val="15"/>
          </w:tcPr>
          <w:p>
            <w:pPr>
              <w:spacing w:after="0"/>
              <w:rPr>
                <w:sz w:val="20"/>
                <w:szCs w:val="20"/>
                <w:color w:val="auto"/>
              </w:rPr>
            </w:pPr>
            <w:r>
              <w:rPr>
                <w:rFonts w:ascii="Arial" w:cs="Arial" w:eastAsia="Arial" w:hAnsi="Arial"/>
                <w:sz w:val="17"/>
                <w:szCs w:val="17"/>
                <w:color w:val="0000FF"/>
                <w:w w:val="92"/>
              </w:rPr>
              <w:t>Certification of Principal Executive Officer Pursuant to 18 U.S.C. Section 1350, as Adopted Pursuant to Section 906 of the Sarbanes-</w:t>
            </w:r>
          </w:p>
        </w:tc>
      </w:tr>
      <w:tr>
        <w:trPr>
          <w:trHeight w:val="148"/>
        </w:trPr>
        <w:tc>
          <w:tcPr>
            <w:tcW w:w="1040" w:type="dxa"/>
            <w:vAlign w:val="bottom"/>
          </w:tcPr>
          <w:p>
            <w:pPr>
              <w:spacing w:after="0"/>
              <w:rPr>
                <w:sz w:val="12"/>
                <w:szCs w:val="12"/>
                <w:color w:val="auto"/>
              </w:rPr>
            </w:pPr>
          </w:p>
        </w:tc>
        <w:tc>
          <w:tcPr>
            <w:tcW w:w="1340" w:type="dxa"/>
            <w:vAlign w:val="bottom"/>
            <w:tcBorders>
              <w:top w:val="single" w:sz="8" w:color="0000FF"/>
              <w:bottom w:val="single" w:sz="8" w:color="0000FF"/>
            </w:tcBorders>
            <w:gridSpan w:val="2"/>
          </w:tcPr>
          <w:p>
            <w:pPr>
              <w:spacing w:after="0" w:line="148" w:lineRule="exact"/>
              <w:rPr>
                <w:sz w:val="20"/>
                <w:szCs w:val="20"/>
                <w:color w:val="auto"/>
              </w:rPr>
            </w:pPr>
            <w:r>
              <w:rPr>
                <w:rFonts w:ascii="Arial" w:cs="Arial" w:eastAsia="Arial" w:hAnsi="Arial"/>
                <w:sz w:val="17"/>
                <w:szCs w:val="17"/>
                <w:color w:val="0000FF"/>
                <w:w w:val="94"/>
              </w:rPr>
              <w:t>Oxley Act of 2002.</w:t>
            </w:r>
          </w:p>
        </w:tc>
        <w:tc>
          <w:tcPr>
            <w:tcW w:w="7840" w:type="dxa"/>
            <w:vAlign w:val="bottom"/>
            <w:tcBorders>
              <w:top w:val="single" w:sz="8" w:color="0000FF"/>
            </w:tcBorders>
            <w:gridSpan w:val="11"/>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02"/>
        </w:trPr>
        <w:tc>
          <w:tcPr>
            <w:tcW w:w="1040" w:type="dxa"/>
            <w:vAlign w:val="bottom"/>
          </w:tcPr>
          <w:p>
            <w:pPr>
              <w:jc w:val="center"/>
              <w:ind w:right="314"/>
              <w:spacing w:after="0"/>
              <w:rPr>
                <w:sz w:val="20"/>
                <w:szCs w:val="20"/>
                <w:color w:val="auto"/>
              </w:rPr>
            </w:pPr>
            <w:r>
              <w:rPr>
                <w:rFonts w:ascii="Arial" w:cs="Arial" w:eastAsia="Arial" w:hAnsi="Arial"/>
                <w:sz w:val="17"/>
                <w:szCs w:val="17"/>
                <w:color w:val="auto"/>
              </w:rPr>
              <w:t>32.2**</w:t>
            </w:r>
          </w:p>
        </w:tc>
        <w:tc>
          <w:tcPr>
            <w:tcW w:w="9140" w:type="dxa"/>
            <w:vAlign w:val="bottom"/>
            <w:tcBorders>
              <w:bottom w:val="single" w:sz="8" w:color="0000FF"/>
            </w:tcBorders>
            <w:gridSpan w:val="11"/>
          </w:tcPr>
          <w:p>
            <w:pPr>
              <w:spacing w:after="0"/>
              <w:rPr>
                <w:sz w:val="20"/>
                <w:szCs w:val="20"/>
                <w:color w:val="auto"/>
              </w:rPr>
            </w:pPr>
            <w:r>
              <w:rPr>
                <w:rFonts w:ascii="Arial" w:cs="Arial" w:eastAsia="Arial" w:hAnsi="Arial"/>
                <w:sz w:val="17"/>
                <w:szCs w:val="17"/>
                <w:color w:val="0000FF"/>
                <w:w w:val="91"/>
              </w:rPr>
              <w:t>Certification of Principal Financial Officer Pursuant to 18 U.S.C. Section 1350, as Adopted Pursuant to Section 906 of the Sarbanes-</w:t>
            </w:r>
          </w:p>
        </w:tc>
        <w:tc>
          <w:tcPr>
            <w:tcW w:w="80" w:type="dxa"/>
            <w:vAlign w:val="bottom"/>
            <w:gridSpan w:val="4"/>
          </w:tcPr>
          <w:p>
            <w:pPr>
              <w:spacing w:after="0"/>
              <w:rPr>
                <w:sz w:val="24"/>
                <w:szCs w:val="24"/>
                <w:color w:val="auto"/>
              </w:rPr>
            </w:pPr>
          </w:p>
        </w:tc>
      </w:tr>
      <w:tr>
        <w:trPr>
          <w:trHeight w:val="173"/>
        </w:trPr>
        <w:tc>
          <w:tcPr>
            <w:tcW w:w="1040" w:type="dxa"/>
            <w:vAlign w:val="bottom"/>
          </w:tcPr>
          <w:p>
            <w:pPr>
              <w:spacing w:after="0"/>
              <w:rPr>
                <w:sz w:val="15"/>
                <w:szCs w:val="15"/>
                <w:color w:val="auto"/>
              </w:rPr>
            </w:pPr>
          </w:p>
        </w:tc>
        <w:tc>
          <w:tcPr>
            <w:tcW w:w="1340" w:type="dxa"/>
            <w:vAlign w:val="bottom"/>
            <w:tcBorders>
              <w:bottom w:val="single" w:sz="8" w:color="0000FF"/>
            </w:tcBorders>
            <w:gridSpan w:val="2"/>
          </w:tcPr>
          <w:p>
            <w:pPr>
              <w:spacing w:after="0" w:line="173" w:lineRule="exact"/>
              <w:rPr>
                <w:sz w:val="20"/>
                <w:szCs w:val="20"/>
                <w:color w:val="auto"/>
              </w:rPr>
            </w:pPr>
            <w:r>
              <w:rPr>
                <w:rFonts w:ascii="Arial" w:cs="Arial" w:eastAsia="Arial" w:hAnsi="Arial"/>
                <w:sz w:val="17"/>
                <w:szCs w:val="17"/>
                <w:color w:val="0000FF"/>
                <w:w w:val="94"/>
              </w:rPr>
              <w:t>Oxley Act of 2002.</w:t>
            </w:r>
          </w:p>
        </w:tc>
        <w:tc>
          <w:tcPr>
            <w:tcW w:w="7880" w:type="dxa"/>
            <w:vAlign w:val="bottom"/>
            <w:gridSpan w:val="13"/>
          </w:tcPr>
          <w:p>
            <w:pPr>
              <w:spacing w:after="0"/>
              <w:rPr>
                <w:sz w:val="15"/>
                <w:szCs w:val="15"/>
                <w:color w:val="auto"/>
              </w:rPr>
            </w:pPr>
          </w:p>
        </w:tc>
      </w:tr>
      <w:tr>
        <w:trPr>
          <w:trHeight w:val="329"/>
        </w:trPr>
        <w:tc>
          <w:tcPr>
            <w:tcW w:w="1040" w:type="dxa"/>
            <w:vAlign w:val="bottom"/>
          </w:tcPr>
          <w:p>
            <w:pPr>
              <w:jc w:val="center"/>
              <w:ind w:right="294"/>
              <w:spacing w:after="0"/>
              <w:rPr>
                <w:sz w:val="20"/>
                <w:szCs w:val="20"/>
                <w:color w:val="auto"/>
              </w:rPr>
            </w:pPr>
            <w:r>
              <w:rPr>
                <w:rFonts w:ascii="Arial" w:cs="Arial" w:eastAsia="Arial" w:hAnsi="Arial"/>
                <w:sz w:val="17"/>
                <w:szCs w:val="17"/>
                <w:color w:val="auto"/>
                <w:w w:val="94"/>
              </w:rPr>
              <w:t>101.INS</w:t>
            </w:r>
          </w:p>
        </w:tc>
        <w:tc>
          <w:tcPr>
            <w:tcW w:w="9220" w:type="dxa"/>
            <w:vAlign w:val="bottom"/>
            <w:gridSpan w:val="15"/>
          </w:tcPr>
          <w:p>
            <w:pPr>
              <w:spacing w:after="0"/>
              <w:rPr>
                <w:sz w:val="20"/>
                <w:szCs w:val="20"/>
                <w:color w:val="auto"/>
              </w:rPr>
            </w:pPr>
            <w:r>
              <w:rPr>
                <w:rFonts w:ascii="Arial" w:cs="Arial" w:eastAsia="Arial" w:hAnsi="Arial"/>
                <w:sz w:val="17"/>
                <w:szCs w:val="17"/>
                <w:color w:val="auto"/>
                <w:w w:val="95"/>
              </w:rPr>
              <w:t>Inline XBRL Instance Document – the instance document does not appear in the Interactive Data file because its XBRL tags are</w:t>
            </w:r>
          </w:p>
        </w:tc>
      </w:tr>
      <w:tr>
        <w:trPr>
          <w:trHeight w:val="217"/>
        </w:trPr>
        <w:tc>
          <w:tcPr>
            <w:tcW w:w="1040" w:type="dxa"/>
            <w:vAlign w:val="bottom"/>
          </w:tcPr>
          <w:p>
            <w:pPr>
              <w:spacing w:after="0"/>
              <w:rPr>
                <w:sz w:val="18"/>
                <w:szCs w:val="18"/>
                <w:color w:val="auto"/>
              </w:rPr>
            </w:pPr>
          </w:p>
        </w:tc>
        <w:tc>
          <w:tcPr>
            <w:tcW w:w="9220" w:type="dxa"/>
            <w:vAlign w:val="bottom"/>
            <w:gridSpan w:val="15"/>
          </w:tcPr>
          <w:p>
            <w:pPr>
              <w:spacing w:after="0"/>
              <w:rPr>
                <w:sz w:val="20"/>
                <w:szCs w:val="20"/>
                <w:color w:val="auto"/>
              </w:rPr>
            </w:pPr>
            <w:r>
              <w:rPr>
                <w:rFonts w:ascii="Arial" w:cs="Arial" w:eastAsia="Arial" w:hAnsi="Arial"/>
                <w:sz w:val="17"/>
                <w:szCs w:val="17"/>
                <w:color w:val="auto"/>
              </w:rPr>
              <w:t>embedded within the Inline XBRL document.</w:t>
            </w:r>
          </w:p>
        </w:tc>
      </w:tr>
      <w:tr>
        <w:trPr>
          <w:trHeight w:val="33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2"/>
              </w:rPr>
              <w:t>101.SCH</w:t>
            </w:r>
          </w:p>
        </w:tc>
        <w:tc>
          <w:tcPr>
            <w:tcW w:w="9220" w:type="dxa"/>
            <w:vAlign w:val="bottom"/>
            <w:gridSpan w:val="15"/>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33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6"/>
              </w:rPr>
              <w:t>101.CAL</w:t>
            </w:r>
          </w:p>
        </w:tc>
        <w:tc>
          <w:tcPr>
            <w:tcW w:w="9220" w:type="dxa"/>
            <w:vAlign w:val="bottom"/>
            <w:gridSpan w:val="15"/>
          </w:tcPr>
          <w:p>
            <w:pPr>
              <w:spacing w:after="0"/>
              <w:rPr>
                <w:sz w:val="20"/>
                <w:szCs w:val="20"/>
                <w:color w:val="auto"/>
              </w:rPr>
            </w:pPr>
            <w:r>
              <w:rPr>
                <w:rFonts w:ascii="Arial" w:cs="Arial" w:eastAsia="Arial" w:hAnsi="Arial"/>
                <w:sz w:val="17"/>
                <w:szCs w:val="17"/>
                <w:color w:val="auto"/>
              </w:rPr>
              <w:t>Inline XBRL Taxonomy Extension Calculation Linkbase Document.</w:t>
            </w:r>
          </w:p>
        </w:tc>
      </w:tr>
      <w:tr>
        <w:trPr>
          <w:trHeight w:val="33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5"/>
              </w:rPr>
              <w:t>101.DEF</w:t>
            </w:r>
          </w:p>
        </w:tc>
        <w:tc>
          <w:tcPr>
            <w:tcW w:w="9220" w:type="dxa"/>
            <w:vAlign w:val="bottom"/>
            <w:gridSpan w:val="15"/>
          </w:tcPr>
          <w:p>
            <w:pPr>
              <w:spacing w:after="0"/>
              <w:rPr>
                <w:sz w:val="20"/>
                <w:szCs w:val="20"/>
                <w:color w:val="auto"/>
              </w:rPr>
            </w:pPr>
            <w:r>
              <w:rPr>
                <w:rFonts w:ascii="Arial" w:cs="Arial" w:eastAsia="Arial" w:hAnsi="Arial"/>
                <w:sz w:val="17"/>
                <w:szCs w:val="17"/>
                <w:color w:val="auto"/>
              </w:rPr>
              <w:t>Inline XBRL Taxonomy Extension Definition Linkbase Document.</w:t>
            </w:r>
          </w:p>
        </w:tc>
      </w:tr>
      <w:tr>
        <w:trPr>
          <w:trHeight w:val="335"/>
        </w:trPr>
        <w:tc>
          <w:tcPr>
            <w:tcW w:w="1040" w:type="dxa"/>
            <w:vAlign w:val="bottom"/>
          </w:tcPr>
          <w:p>
            <w:pPr>
              <w:jc w:val="center"/>
              <w:ind w:right="314"/>
              <w:spacing w:after="0"/>
              <w:rPr>
                <w:sz w:val="20"/>
                <w:szCs w:val="20"/>
                <w:color w:val="auto"/>
              </w:rPr>
            </w:pPr>
            <w:r>
              <w:rPr>
                <w:rFonts w:ascii="Arial" w:cs="Arial" w:eastAsia="Arial" w:hAnsi="Arial"/>
                <w:sz w:val="17"/>
                <w:szCs w:val="17"/>
                <w:color w:val="auto"/>
                <w:w w:val="98"/>
              </w:rPr>
              <w:t>101.LAB</w:t>
            </w:r>
          </w:p>
        </w:tc>
        <w:tc>
          <w:tcPr>
            <w:tcW w:w="9220" w:type="dxa"/>
            <w:vAlign w:val="bottom"/>
            <w:gridSpan w:val="15"/>
          </w:tcPr>
          <w:p>
            <w:pPr>
              <w:spacing w:after="0"/>
              <w:rPr>
                <w:sz w:val="20"/>
                <w:szCs w:val="20"/>
                <w:color w:val="auto"/>
              </w:rPr>
            </w:pPr>
            <w:r>
              <w:rPr>
                <w:rFonts w:ascii="Arial" w:cs="Arial" w:eastAsia="Arial" w:hAnsi="Arial"/>
                <w:sz w:val="17"/>
                <w:szCs w:val="17"/>
                <w:color w:val="auto"/>
              </w:rPr>
              <w:t>Inline XBRL Taxonomy Extension Label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80"/>
          </w:cols>
          <w:pgMar w:left="320" w:top="282" w:right="99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tabs>
          <w:tab w:leader="none" w:pos="1320"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5"/>
          <w:szCs w:val="15"/>
          <w:color w:val="auto"/>
        </w:rPr>
        <w:t>Inline XBRL Taxonomy Extension Presentation Linkbase Document.</w:t>
      </w:r>
    </w:p>
    <w:p>
      <w:pPr>
        <w:spacing w:after="0" w:line="14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(embedded within the Inline XBRL document)</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6" w:lineRule="exact"/>
        <w:rPr>
          <w:sz w:val="20"/>
          <w:szCs w:val="20"/>
          <w:color w:val="auto"/>
        </w:rPr>
      </w:pPr>
    </w:p>
    <w:p>
      <w:pPr>
        <w:ind w:left="300" w:hanging="297"/>
        <w:spacing w:after="0"/>
        <w:tabs>
          <w:tab w:leader="none" w:pos="3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Furnished herewith.</w:t>
      </w:r>
    </w:p>
    <w:p>
      <w:pPr>
        <w:spacing w:after="0" w:line="7"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Indicates management contract or compensatory plan.</w:t>
      </w:r>
    </w:p>
    <w:p>
      <w:pPr>
        <w:spacing w:after="0" w:line="7" w:lineRule="exact"/>
        <w:rPr>
          <w:sz w:val="20"/>
          <w:szCs w:val="20"/>
          <w:color w:val="auto"/>
        </w:rPr>
      </w:pPr>
    </w:p>
    <w:p>
      <w:pPr>
        <w:spacing w:after="0"/>
        <w:tabs>
          <w:tab w:leader="none" w:pos="1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Certain portions of this exhibit (indicated by “[***]”) have been omitted pursuant to Regulation S-K, Item (601)(b)(10).</w:t>
      </w:r>
    </w:p>
    <w:p>
      <w:pPr>
        <w:spacing w:after="0" w:line="39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(b) Financial Statement Schedules.</w:t>
      </w:r>
    </w:p>
    <w:p>
      <w:pPr>
        <w:spacing w:after="0" w:line="165" w:lineRule="exact"/>
        <w:rPr>
          <w:sz w:val="20"/>
          <w:szCs w:val="20"/>
          <w:color w:val="auto"/>
        </w:rPr>
      </w:pPr>
    </w:p>
    <w:p>
      <w:pPr>
        <w:ind w:firstLine="309"/>
        <w:spacing w:after="0" w:line="279" w:lineRule="auto"/>
        <w:rPr>
          <w:sz w:val="20"/>
          <w:szCs w:val="20"/>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the notes thereto.</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384"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20"/>
          </w:cols>
          <w:pgMar w:left="320" w:top="282" w:right="459" w:bottom="1440" w:gutter="0" w:footer="0" w:header="0"/>
        </w:sectPr>
      </w:pPr>
    </w:p>
    <w:bookmarkStart w:id="125" w:name="page126"/>
    <w:bookmarkEnd w:id="125"/>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171" w:lineRule="exact"/>
        <w:rPr>
          <w:sz w:val="20"/>
          <w:szCs w:val="20"/>
          <w:color w:val="auto"/>
        </w:rPr>
      </w:pPr>
    </w:p>
    <w:p>
      <w:pPr>
        <w:ind w:right="20" w:firstLine="309"/>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report to be signed on its behalf by the undersigned, thereunto duly authorized.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740" w:type="dxa"/>
            <w:vAlign w:val="bottom"/>
            <w:gridSpan w:val="3"/>
          </w:tcPr>
          <w:p>
            <w:pPr>
              <w:ind w:left="1540"/>
              <w:spacing w:after="0"/>
              <w:rPr>
                <w:sz w:val="20"/>
                <w:szCs w:val="20"/>
                <w:color w:val="auto"/>
              </w:rPr>
            </w:pPr>
            <w:r>
              <w:rPr>
                <w:rFonts w:ascii="Arial" w:cs="Arial" w:eastAsia="Arial" w:hAnsi="Arial"/>
                <w:sz w:val="17"/>
                <w:szCs w:val="17"/>
                <w:b w:val="1"/>
                <w:bCs w:val="1"/>
                <w:color w:val="auto"/>
              </w:rPr>
              <w:t>PROCEPT BIOROBOTICS CORPORATION</w:t>
            </w:r>
          </w:p>
        </w:tc>
      </w:tr>
      <w:tr>
        <w:trPr>
          <w:trHeight w:val="478"/>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60" w:type="dxa"/>
            <w:vAlign w:val="bottom"/>
          </w:tcPr>
          <w:p>
            <w:pPr>
              <w:ind w:left="160"/>
              <w:spacing w:after="0"/>
              <w:rPr>
                <w:sz w:val="20"/>
                <w:szCs w:val="20"/>
                <w:color w:val="auto"/>
              </w:rPr>
            </w:pPr>
            <w:r>
              <w:rPr>
                <w:rFonts w:ascii="Arial" w:cs="Arial" w:eastAsia="Arial" w:hAnsi="Arial"/>
                <w:sz w:val="17"/>
                <w:szCs w:val="17"/>
                <w:color w:val="auto"/>
              </w:rPr>
              <w:t>February 28, 2023</w:t>
            </w:r>
          </w:p>
        </w:tc>
        <w:tc>
          <w:tcPr>
            <w:tcW w:w="1980" w:type="dxa"/>
            <w:vAlign w:val="bottom"/>
          </w:tcPr>
          <w:p>
            <w:pPr>
              <w:ind w:left="1540"/>
              <w:spacing w:after="0"/>
              <w:rPr>
                <w:sz w:val="20"/>
                <w:szCs w:val="20"/>
                <w:color w:val="auto"/>
              </w:rPr>
            </w:pPr>
            <w:r>
              <w:rPr>
                <w:rFonts w:ascii="Arial" w:cs="Arial" w:eastAsia="Arial" w:hAnsi="Arial"/>
                <w:sz w:val="17"/>
                <w:szCs w:val="17"/>
                <w:color w:val="auto"/>
              </w:rPr>
              <w:t>By:</w:t>
            </w:r>
          </w:p>
        </w:tc>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Reza Zadno</w:t>
            </w:r>
          </w:p>
        </w:tc>
      </w:tr>
      <w:tr>
        <w:trPr>
          <w:trHeight w:val="211"/>
        </w:trPr>
        <w:tc>
          <w:tcPr>
            <w:tcW w:w="5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7"/>
                <w:szCs w:val="17"/>
                <w:color w:val="auto"/>
              </w:rPr>
              <w:t>Name:</w:t>
            </w:r>
          </w:p>
        </w:tc>
        <w:tc>
          <w:tcPr>
            <w:tcW w:w="5140" w:type="dxa"/>
            <w:vAlign w:val="bottom"/>
          </w:tcPr>
          <w:p>
            <w:pPr>
              <w:ind w:left="140"/>
              <w:spacing w:after="0"/>
              <w:rPr>
                <w:sz w:val="20"/>
                <w:szCs w:val="20"/>
                <w:color w:val="auto"/>
              </w:rPr>
            </w:pPr>
            <w:r>
              <w:rPr>
                <w:rFonts w:ascii="Arial" w:cs="Arial" w:eastAsia="Arial" w:hAnsi="Arial"/>
                <w:sz w:val="17"/>
                <w:szCs w:val="17"/>
                <w:color w:val="auto"/>
              </w:rPr>
              <w:t>Reza Zadno, Ph.D.</w:t>
            </w:r>
          </w:p>
        </w:tc>
      </w:tr>
      <w:tr>
        <w:trPr>
          <w:trHeight w:val="219"/>
        </w:trPr>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7"/>
                <w:szCs w:val="17"/>
                <w:color w:val="auto"/>
              </w:rPr>
              <w:t>Title:</w:t>
            </w:r>
          </w:p>
        </w:tc>
        <w:tc>
          <w:tcPr>
            <w:tcW w:w="5140" w:type="dxa"/>
            <w:vAlign w:val="bottom"/>
          </w:tcPr>
          <w:p>
            <w:pPr>
              <w:ind w:left="140"/>
              <w:spacing w:after="0"/>
              <w:rPr>
                <w:sz w:val="20"/>
                <w:szCs w:val="20"/>
                <w:color w:val="auto"/>
              </w:rPr>
            </w:pPr>
            <w:r>
              <w:rPr>
                <w:rFonts w:ascii="Arial" w:cs="Arial" w:eastAsia="Arial" w:hAnsi="Arial"/>
                <w:sz w:val="17"/>
                <w:szCs w:val="17"/>
                <w:color w:val="auto"/>
              </w:rPr>
              <w:t>Chief Executive Officer</w:t>
            </w:r>
          </w:p>
        </w:tc>
      </w:tr>
      <w:tr>
        <w:trPr>
          <w:trHeight w:val="439"/>
        </w:trPr>
        <w:tc>
          <w:tcPr>
            <w:tcW w:w="520" w:type="dxa"/>
            <w:vAlign w:val="bottom"/>
          </w:tcPr>
          <w:p>
            <w:pPr>
              <w:spacing w:after="0"/>
              <w:rPr>
                <w:sz w:val="20"/>
                <w:szCs w:val="20"/>
                <w:color w:val="auto"/>
              </w:rPr>
            </w:pPr>
            <w:r>
              <w:rPr>
                <w:rFonts w:ascii="Arial" w:cs="Arial" w:eastAsia="Arial" w:hAnsi="Arial"/>
                <w:sz w:val="17"/>
                <w:szCs w:val="17"/>
                <w:color w:val="auto"/>
              </w:rPr>
              <w:t>Date:</w:t>
            </w:r>
          </w:p>
        </w:tc>
        <w:tc>
          <w:tcPr>
            <w:tcW w:w="2960" w:type="dxa"/>
            <w:vAlign w:val="bottom"/>
          </w:tcPr>
          <w:p>
            <w:pPr>
              <w:ind w:left="160"/>
              <w:spacing w:after="0"/>
              <w:rPr>
                <w:sz w:val="20"/>
                <w:szCs w:val="20"/>
                <w:color w:val="auto"/>
              </w:rPr>
            </w:pPr>
            <w:r>
              <w:rPr>
                <w:rFonts w:ascii="Arial" w:cs="Arial" w:eastAsia="Arial" w:hAnsi="Arial"/>
                <w:sz w:val="17"/>
                <w:szCs w:val="17"/>
                <w:color w:val="auto"/>
              </w:rPr>
              <w:t>February 28, 2023</w:t>
            </w:r>
          </w:p>
        </w:tc>
        <w:tc>
          <w:tcPr>
            <w:tcW w:w="1980" w:type="dxa"/>
            <w:vAlign w:val="bottom"/>
          </w:tcPr>
          <w:p>
            <w:pPr>
              <w:ind w:left="1540"/>
              <w:spacing w:after="0"/>
              <w:rPr>
                <w:sz w:val="20"/>
                <w:szCs w:val="20"/>
                <w:color w:val="auto"/>
              </w:rPr>
            </w:pPr>
            <w:r>
              <w:rPr>
                <w:rFonts w:ascii="Arial" w:cs="Arial" w:eastAsia="Arial" w:hAnsi="Arial"/>
                <w:sz w:val="17"/>
                <w:szCs w:val="17"/>
                <w:color w:val="auto"/>
              </w:rPr>
              <w:t>By:</w:t>
            </w:r>
          </w:p>
        </w:tc>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Kevin Waters</w:t>
            </w:r>
          </w:p>
        </w:tc>
      </w:tr>
      <w:tr>
        <w:trPr>
          <w:trHeight w:val="211"/>
        </w:trPr>
        <w:tc>
          <w:tcPr>
            <w:tcW w:w="5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7"/>
                <w:szCs w:val="17"/>
                <w:color w:val="auto"/>
              </w:rPr>
              <w:t>Name:</w:t>
            </w:r>
          </w:p>
        </w:tc>
        <w:tc>
          <w:tcPr>
            <w:tcW w:w="5140" w:type="dxa"/>
            <w:vAlign w:val="bottom"/>
          </w:tcPr>
          <w:p>
            <w:pPr>
              <w:ind w:left="140"/>
              <w:spacing w:after="0"/>
              <w:rPr>
                <w:sz w:val="20"/>
                <w:szCs w:val="20"/>
                <w:color w:val="auto"/>
              </w:rPr>
            </w:pPr>
            <w:r>
              <w:rPr>
                <w:rFonts w:ascii="Arial" w:cs="Arial" w:eastAsia="Arial" w:hAnsi="Arial"/>
                <w:sz w:val="17"/>
                <w:szCs w:val="17"/>
                <w:color w:val="auto"/>
              </w:rPr>
              <w:t>Kevin Waters</w:t>
            </w:r>
          </w:p>
        </w:tc>
      </w:tr>
      <w:tr>
        <w:trPr>
          <w:trHeight w:val="219"/>
        </w:trPr>
        <w:tc>
          <w:tcPr>
            <w:tcW w:w="5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7"/>
                <w:szCs w:val="17"/>
                <w:color w:val="auto"/>
              </w:rPr>
              <w:t>Title:</w:t>
            </w:r>
          </w:p>
        </w:tc>
        <w:tc>
          <w:tcPr>
            <w:tcW w:w="5140" w:type="dxa"/>
            <w:vAlign w:val="bottom"/>
          </w:tcPr>
          <w:p>
            <w:pPr>
              <w:ind w:left="140"/>
              <w:spacing w:after="0"/>
              <w:rPr>
                <w:sz w:val="20"/>
                <w:szCs w:val="20"/>
                <w:color w:val="auto"/>
              </w:rPr>
            </w:pPr>
            <w:r>
              <w:rPr>
                <w:rFonts w:ascii="Arial" w:cs="Arial" w:eastAsia="Arial" w:hAnsi="Arial"/>
                <w:sz w:val="17"/>
                <w:szCs w:val="17"/>
                <w:color w:val="auto"/>
              </w:rPr>
              <w:t>Chief Financial Officer</w:t>
            </w:r>
          </w:p>
        </w:tc>
      </w:tr>
    </w:tbl>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SIGNATURES AND POWER OF ATTORNEY</w:t>
      </w:r>
    </w:p>
    <w:p>
      <w:pPr>
        <w:spacing w:after="0" w:line="171" w:lineRule="exact"/>
        <w:rPr>
          <w:sz w:val="20"/>
          <w:szCs w:val="20"/>
          <w:color w:val="auto"/>
        </w:rPr>
      </w:pPr>
    </w:p>
    <w:p>
      <w:pPr>
        <w:ind w:right="220" w:firstLine="309"/>
        <w:spacing w:after="0" w:line="307"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Reza Zadno and Kevin Waters,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97" w:lineRule="exact"/>
        <w:rPr>
          <w:sz w:val="20"/>
          <w:szCs w:val="20"/>
          <w:color w:val="auto"/>
        </w:rPr>
      </w:pPr>
    </w:p>
    <w:p>
      <w:pPr>
        <w:ind w:right="260" w:firstLine="309"/>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Pr>
          <w:p>
            <w:pPr>
              <w:spacing w:after="0"/>
              <w:rPr>
                <w:sz w:val="15"/>
                <w:szCs w:val="15"/>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24"/>
        </w:trPr>
        <w:tc>
          <w:tcPr>
            <w:tcW w:w="4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365"/>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0"/>
              </w:rPr>
              <w:t>/s/ Reza Zadno</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President, Chief Executive Officer and 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2"/>
        </w:trPr>
        <w:tc>
          <w:tcPr>
            <w:tcW w:w="4380" w:type="dxa"/>
            <w:vAlign w:val="bottom"/>
          </w:tcPr>
          <w:p>
            <w:pPr>
              <w:jc w:val="center"/>
              <w:spacing w:after="0"/>
              <w:rPr>
                <w:sz w:val="20"/>
                <w:szCs w:val="20"/>
                <w:color w:val="auto"/>
              </w:rPr>
            </w:pPr>
            <w:r>
              <w:rPr>
                <w:rFonts w:ascii="Arial" w:cs="Arial" w:eastAsia="Arial" w:hAnsi="Arial"/>
                <w:sz w:val="17"/>
                <w:szCs w:val="17"/>
                <w:color w:val="auto"/>
                <w:w w:val="89"/>
              </w:rPr>
              <w:t>Reza Zadno, Ph.D.</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(principal executive officer)</w:t>
            </w: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Kevin Waters</w:t>
            </w:r>
          </w:p>
        </w:tc>
        <w:tc>
          <w:tcPr>
            <w:tcW w:w="100" w:type="dxa"/>
            <w:vAlign w:val="bottom"/>
          </w:tcPr>
          <w:p>
            <w:pPr>
              <w:spacing w:after="0"/>
              <w:rPr>
                <w:sz w:val="24"/>
                <w:szCs w:val="24"/>
                <w:color w:val="auto"/>
              </w:rPr>
            </w:pPr>
          </w:p>
        </w:tc>
        <w:tc>
          <w:tcPr>
            <w:tcW w:w="47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SVP, Chief Financial Officer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2"/>
        </w:trPr>
        <w:tc>
          <w:tcPr>
            <w:tcW w:w="4380" w:type="dxa"/>
            <w:vAlign w:val="bottom"/>
          </w:tcPr>
          <w:p>
            <w:pPr>
              <w:jc w:val="center"/>
              <w:spacing w:after="0"/>
              <w:rPr>
                <w:sz w:val="20"/>
                <w:szCs w:val="20"/>
                <w:color w:val="auto"/>
              </w:rPr>
            </w:pPr>
            <w:r>
              <w:rPr>
                <w:rFonts w:ascii="Arial" w:cs="Arial" w:eastAsia="Arial" w:hAnsi="Arial"/>
                <w:sz w:val="17"/>
                <w:szCs w:val="17"/>
                <w:color w:val="auto"/>
                <w:w w:val="92"/>
              </w:rPr>
              <w:t>Kevin Waters</w:t>
            </w:r>
          </w:p>
        </w:tc>
        <w:tc>
          <w:tcPr>
            <w:tcW w:w="100" w:type="dxa"/>
            <w:vAlign w:val="bottom"/>
          </w:tcPr>
          <w:p>
            <w:pPr>
              <w:spacing w:after="0"/>
              <w:rPr>
                <w:sz w:val="18"/>
                <w:szCs w:val="18"/>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(principal financial and accounting officer)</w:t>
            </w: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/s/ Frederic Moll, M.D.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Director and Chair of the Board</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7"/>
              </w:rPr>
              <w:t>Frederic Moll, M.D.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Antal Desai</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4"/>
              </w:rPr>
              <w:t>Antal Desai</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8"/>
              </w:rPr>
              <w:t>/s/ Amy Dodrill</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rPr>
              <w:t>Amy Dodrill</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Mary Garrett</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4"/>
              </w:rPr>
              <w:t>Mary Garrett</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26"/>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Taylor Harris</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4"/>
              </w:rPr>
              <w:t>Taylor Harris</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Thomas Krummel, M.D.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4"/>
              </w:rPr>
              <w:t>Thomas Krummel, M.D.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Elisabeth Sandoval-Little</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4"/>
              </w:rPr>
              <w:t>Elisabeth Sandoval-Little</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413"/>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Colby Wood</w:t>
            </w:r>
          </w:p>
        </w:tc>
        <w:tc>
          <w:tcPr>
            <w:tcW w:w="100" w:type="dxa"/>
            <w:vAlign w:val="bottom"/>
          </w:tcPr>
          <w:p>
            <w:pPr>
              <w:spacing w:after="0"/>
              <w:rPr>
                <w:sz w:val="24"/>
                <w:szCs w:val="24"/>
                <w:color w:val="auto"/>
              </w:rPr>
            </w:pPr>
          </w:p>
        </w:tc>
        <w:tc>
          <w:tcPr>
            <w:tcW w:w="472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Director</w:t>
            </w:r>
          </w:p>
        </w:tc>
        <w:tc>
          <w:tcPr>
            <w:tcW w:w="2040" w:type="dxa"/>
            <w:vAlign w:val="bottom"/>
          </w:tcPr>
          <w:p>
            <w:pPr>
              <w:jc w:val="center"/>
              <w:spacing w:after="0"/>
              <w:rPr>
                <w:sz w:val="20"/>
                <w:szCs w:val="20"/>
                <w:color w:val="auto"/>
              </w:rPr>
            </w:pPr>
            <w:r>
              <w:rPr>
                <w:rFonts w:ascii="Arial" w:cs="Arial" w:eastAsia="Arial" w:hAnsi="Arial"/>
                <w:sz w:val="17"/>
                <w:szCs w:val="17"/>
                <w:color w:val="auto"/>
                <w:w w:val="90"/>
              </w:rPr>
              <w:t>February 28, 2023</w:t>
            </w:r>
          </w:p>
        </w:tc>
      </w:tr>
      <w:tr>
        <w:trPr>
          <w:trHeight w:val="211"/>
        </w:trPr>
        <w:tc>
          <w:tcPr>
            <w:tcW w:w="4380" w:type="dxa"/>
            <w:vAlign w:val="bottom"/>
          </w:tcPr>
          <w:p>
            <w:pPr>
              <w:jc w:val="center"/>
              <w:spacing w:after="0"/>
              <w:rPr>
                <w:sz w:val="20"/>
                <w:szCs w:val="20"/>
                <w:color w:val="auto"/>
              </w:rPr>
            </w:pPr>
            <w:r>
              <w:rPr>
                <w:rFonts w:ascii="Arial" w:cs="Arial" w:eastAsia="Arial" w:hAnsi="Arial"/>
                <w:sz w:val="17"/>
                <w:szCs w:val="17"/>
                <w:color w:val="auto"/>
                <w:w w:val="92"/>
              </w:rPr>
              <w:t>Colby Wood</w:t>
            </w:r>
          </w:p>
        </w:tc>
        <w:tc>
          <w:tcPr>
            <w:tcW w:w="10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240"/>
          </w:cols>
          <w:pgMar w:left="320" w:top="282"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10.7(d)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FOURTH AMENDMENT TO LEASE</w:t>
      </w:r>
    </w:p>
    <w:p>
      <w:pPr>
        <w:jc w:val="center"/>
        <w:spacing w:after="0"/>
        <w:rPr>
          <w:sz w:val="20"/>
          <w:szCs w:val="20"/>
          <w:color w:val="auto"/>
        </w:rPr>
      </w:pPr>
      <w:r>
        <w:rPr>
          <w:rFonts w:ascii="Arial" w:cs="Arial" w:eastAsia="Arial" w:hAnsi="Arial"/>
          <w:sz w:val="21"/>
          <w:szCs w:val="21"/>
          <w:b w:val="1"/>
          <w:bCs w:val="1"/>
          <w:color w:val="auto"/>
        </w:rPr>
        <w:t>(EXTENSION)</w:t>
      </w:r>
    </w:p>
    <w:p>
      <w:pPr>
        <w:spacing w:after="0" w:line="153" w:lineRule="exact"/>
        <w:rPr>
          <w:sz w:val="20"/>
          <w:szCs w:val="20"/>
          <w:color w:val="auto"/>
        </w:rPr>
      </w:pPr>
    </w:p>
    <w:p>
      <w:pPr>
        <w:ind w:right="460" w:firstLine="619"/>
        <w:spacing w:after="0" w:line="235" w:lineRule="auto"/>
        <w:rPr>
          <w:sz w:val="20"/>
          <w:szCs w:val="20"/>
          <w:color w:val="auto"/>
        </w:rPr>
      </w:pPr>
      <w:r>
        <w:rPr>
          <w:rFonts w:ascii="Arial" w:cs="Arial" w:eastAsia="Arial" w:hAnsi="Arial"/>
          <w:sz w:val="20"/>
          <w:szCs w:val="20"/>
          <w:color w:val="auto"/>
        </w:rPr>
        <w:t>This Forth Amendment to Lease (the "Agreement") is entered into as of January 27, by and between WESTPORT OFFICE PARK, LLC, a Delaware limited liability company ("Landlord"), and PROCEPT BIOROBOTICS CORPORATION, a Delaware corporation ("Tenant"), with respect to the following facts and circumstances:</w:t>
      </w:r>
    </w:p>
    <w:p>
      <w:pPr>
        <w:spacing w:after="0" w:line="150" w:lineRule="exact"/>
        <w:rPr>
          <w:sz w:val="20"/>
          <w:szCs w:val="20"/>
          <w:color w:val="auto"/>
        </w:rPr>
      </w:pPr>
    </w:p>
    <w:p>
      <w:pPr>
        <w:ind w:right="40" w:firstLine="825"/>
        <w:spacing w:after="0" w:line="211" w:lineRule="auto"/>
        <w:rPr>
          <w:sz w:val="20"/>
          <w:szCs w:val="20"/>
          <w:color w:val="auto"/>
        </w:rPr>
      </w:pPr>
      <w:r>
        <w:rPr>
          <w:rFonts w:ascii="Arial" w:cs="Arial" w:eastAsia="Arial" w:hAnsi="Arial"/>
          <w:sz w:val="21"/>
          <w:szCs w:val="21"/>
          <w:color w:val="auto"/>
        </w:rPr>
        <w:t>Landlord (as successor by conversion to between WESTPORT OFFICE PARK, LLC, a California limited liability company) and Tenant (as successor in interest to Procept BioRobotics, a California corporation) are parties to that certain Lease Agreement dated as of July 15, 2013, as amended by that certain First Amendment to Lease dated as of March 2, 2016, as amended by that certain Second Amendment to Lease dated as of May 20, 2016, as amended by that certain Third Amendment to Lease dated as of April 4, 2018 (collectively, the "Original Lease"), of certain premises commonly known as Suites 101, 150, 170, 202, 203 and 210 (the "Existing Premises"), within the building located at 900 Island Drive, Redwood City, California 94605, and more particularly described in the Original Lease. Capitalized terms used and not otherwise defined herein shall have the meanings given those terms in the Original Lease. Effective as of the date hereof, all references to the "Lease" shall refer to the Original Lease, as amended by this Agreement.</w:t>
      </w:r>
    </w:p>
    <w:p>
      <w:pPr>
        <w:spacing w:after="0" w:line="15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The Term of the Original Lease by its terms is scheduled to expire on October 29, 2023 (“Original Lease Expiration Date”).</w:t>
      </w:r>
    </w:p>
    <w:p>
      <w:pPr>
        <w:spacing w:after="0" w:line="194" w:lineRule="exact"/>
        <w:rPr>
          <w:sz w:val="20"/>
          <w:szCs w:val="20"/>
          <w:color w:val="auto"/>
        </w:rPr>
      </w:pPr>
    </w:p>
    <w:p>
      <w:pPr>
        <w:ind w:right="300" w:firstLine="622"/>
        <w:spacing w:after="0" w:line="233" w:lineRule="auto"/>
        <w:tabs>
          <w:tab w:leader="none" w:pos="1014" w:val="left"/>
        </w:tabs>
        <w:numPr>
          <w:ilvl w:val="0"/>
          <w:numId w:val="71"/>
        </w:numPr>
        <w:rPr>
          <w:rFonts w:ascii="Arial" w:cs="Arial" w:eastAsia="Arial" w:hAnsi="Arial"/>
          <w:sz w:val="21"/>
          <w:szCs w:val="21"/>
          <w:color w:val="auto"/>
        </w:rPr>
      </w:pPr>
      <w:r>
        <w:rPr>
          <w:rFonts w:ascii="Arial" w:cs="Arial" w:eastAsia="Arial" w:hAnsi="Arial"/>
          <w:sz w:val="21"/>
          <w:szCs w:val="21"/>
          <w:color w:val="auto"/>
        </w:rPr>
        <w:t>Landlord and Tenant desire to amend the Original Lease to extend its term and to make other modifications on the terms and conditions provided herein.</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21"/>
          <w:szCs w:val="21"/>
          <w:color w:val="auto"/>
        </w:rPr>
        <w:t>IT IS, THEREFORE, agreed as follows:</w:t>
      </w:r>
    </w:p>
    <w:p>
      <w:pPr>
        <w:spacing w:after="0" w:line="171" w:lineRule="exact"/>
        <w:rPr>
          <w:sz w:val="20"/>
          <w:szCs w:val="20"/>
          <w:color w:val="auto"/>
        </w:rPr>
      </w:pPr>
    </w:p>
    <w:p>
      <w:pPr>
        <w:ind w:left="1240" w:right="3600" w:hanging="618"/>
        <w:spacing w:after="0" w:line="478" w:lineRule="auto"/>
        <w:tabs>
          <w:tab w:leader="none" w:pos="12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As used in this Agreement, the following terms have the following meanings: 1.1 "Contraction Date" means the Original Lease Expiration Date.</w:t>
      </w:r>
    </w:p>
    <w:p>
      <w:pPr>
        <w:spacing w:after="0" w:line="1" w:lineRule="exact"/>
        <w:rPr>
          <w:sz w:val="20"/>
          <w:szCs w:val="20"/>
          <w:color w:val="auto"/>
        </w:rPr>
      </w:pPr>
    </w:p>
    <w:p>
      <w:pPr>
        <w:ind w:right="1000" w:firstLine="1238"/>
        <w:spacing w:after="0" w:line="276" w:lineRule="auto"/>
        <w:rPr>
          <w:sz w:val="20"/>
          <w:szCs w:val="20"/>
          <w:color w:val="auto"/>
        </w:rPr>
      </w:pPr>
      <w:r>
        <w:rPr>
          <w:rFonts w:ascii="Arial" w:cs="Arial" w:eastAsia="Arial" w:hAnsi="Arial"/>
          <w:sz w:val="19"/>
          <w:szCs w:val="19"/>
          <w:color w:val="auto"/>
        </w:rPr>
        <w:t>1.2 "Excluded Space" means a portion of the Building commonly known as 202, 203 and 210, containing approximately 19,807 square feet of rentable area, and more particularly shown on Exhibit "A" attached hereto.</w:t>
      </w:r>
    </w:p>
    <w:p>
      <w:pPr>
        <w:spacing w:after="0" w:line="116" w:lineRule="exact"/>
        <w:rPr>
          <w:sz w:val="20"/>
          <w:szCs w:val="20"/>
          <w:color w:val="auto"/>
        </w:rPr>
      </w:pPr>
    </w:p>
    <w:p>
      <w:pPr>
        <w:ind w:right="180" w:firstLine="1238"/>
        <w:spacing w:after="0" w:line="224" w:lineRule="auto"/>
        <w:rPr>
          <w:sz w:val="20"/>
          <w:szCs w:val="20"/>
          <w:color w:val="auto"/>
        </w:rPr>
      </w:pPr>
      <w:r>
        <w:rPr>
          <w:rFonts w:ascii="Arial" w:cs="Arial" w:eastAsia="Arial" w:hAnsi="Arial"/>
          <w:sz w:val="21"/>
          <w:szCs w:val="21"/>
          <w:color w:val="auto"/>
        </w:rPr>
        <w:t>1.3 "Remaining Premises" means the portions of the Existing Premises other than the Excluded Space. The Remaining Premises contains 23,638 square feet of rentable area. The Remaining Premises is more particularly shown on Exhibit "B" attached hereto.</w:t>
      </w:r>
    </w:p>
    <w:p>
      <w:pPr>
        <w:spacing w:after="0" w:line="149" w:lineRule="exact"/>
        <w:rPr>
          <w:sz w:val="20"/>
          <w:szCs w:val="20"/>
          <w:color w:val="auto"/>
        </w:rPr>
      </w:pPr>
    </w:p>
    <w:p>
      <w:pPr>
        <w:ind w:right="40" w:firstLine="622"/>
        <w:spacing w:after="0" w:line="225" w:lineRule="auto"/>
        <w:tabs>
          <w:tab w:leader="none" w:pos="1238"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term of the leasing of the Excluded Space shall expire and terminate on the Contraction Date. Tenant shall surrender possession of and vacate the Excluded Space to Landlord no later than the Contraction Date, in the condition required by and otherwise in accordance with all of the provisions of the Original Lease. In the event that Tenant fails to vacate the Excluded Space and surrender and deliver exclusive possession of the Excluded Space to Landlord on or before the Contraction Date in accordance with the provisions of the Lease, then Tenant shall be deemed to be in holdover of the Excluded Space and shall be subject to the terms of Article 30 of the Lease. Effective on the day after the Contraction Date:</w:t>
      </w:r>
    </w:p>
    <w:p>
      <w:pPr>
        <w:spacing w:after="0" w:line="150"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color w:val="auto"/>
        </w:rPr>
        <w:t>Tenant's Building Percentage shall be reduced to 48.62%.</w:t>
      </w:r>
    </w:p>
    <w:p>
      <w:pPr>
        <w:spacing w:after="0" w:line="171" w:lineRule="exact"/>
        <w:rPr>
          <w:sz w:val="20"/>
          <w:szCs w:val="20"/>
          <w:color w:val="auto"/>
        </w:rPr>
      </w:pPr>
    </w:p>
    <w:p>
      <w:pPr>
        <w:ind w:left="1240"/>
        <w:spacing w:after="0"/>
        <w:tabs>
          <w:tab w:leader="none" w:pos="18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color w:val="auto"/>
        </w:rPr>
        <w:t>Tenant’s Common Area Building Percentage shall be reduced to 2.37%.</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10" w:right="339" w:bottom="1440" w:gutter="0" w:footer="0" w:header="0"/>
        </w:sectPr>
      </w:pPr>
    </w:p>
    <w:bookmarkStart w:id="128" w:name="page129"/>
    <w:bookmarkEnd w:id="128"/>
    <w:p>
      <w:pPr>
        <w:ind w:right="20" w:firstLine="1238"/>
        <w:spacing w:after="0" w:line="305" w:lineRule="auto"/>
        <w:rPr>
          <w:sz w:val="20"/>
          <w:szCs w:val="20"/>
          <w:color w:val="auto"/>
        </w:rPr>
      </w:pPr>
      <w:r>
        <w:rPr>
          <w:rFonts w:ascii="Arial" w:cs="Arial" w:eastAsia="Arial" w:hAnsi="Arial"/>
          <w:sz w:val="18"/>
          <w:szCs w:val="18"/>
          <w:color w:val="auto"/>
        </w:rPr>
        <w:t>1.3 The Maximum Parking Allocation shall be reduced to seventy- eight (78) unreserved passes, which is based on a parking ratio of 3.3 non-exclusive parking spaces per one thousand (1,000) square feet of rentable spaces in the Remaining Premises.</w:t>
      </w:r>
    </w:p>
    <w:p>
      <w:pPr>
        <w:spacing w:after="0" w:line="93" w:lineRule="exact"/>
        <w:rPr>
          <w:sz w:val="20"/>
          <w:szCs w:val="20"/>
          <w:color w:val="auto"/>
        </w:rPr>
      </w:pPr>
    </w:p>
    <w:p>
      <w:pPr>
        <w:ind w:right="520" w:firstLine="1238"/>
        <w:spacing w:after="0" w:line="276" w:lineRule="auto"/>
        <w:rPr>
          <w:sz w:val="20"/>
          <w:szCs w:val="20"/>
          <w:color w:val="auto"/>
        </w:rPr>
      </w:pPr>
      <w:r>
        <w:rPr>
          <w:rFonts w:ascii="Arial" w:cs="Arial" w:eastAsia="Arial" w:hAnsi="Arial"/>
          <w:sz w:val="19"/>
          <w:szCs w:val="19"/>
          <w:color w:val="auto"/>
        </w:rPr>
        <w:t>1.4 Amounts payable by Tenant for Operating Expenses and Taxes with respect to the Excluded Space shall be determined and prorated to reflect the termination of the Original Lease as to the Excluded Space as of the Contraction Date.</w:t>
      </w:r>
    </w:p>
    <w:p>
      <w:pPr>
        <w:spacing w:after="0" w:line="116" w:lineRule="exact"/>
        <w:rPr>
          <w:sz w:val="20"/>
          <w:szCs w:val="20"/>
          <w:color w:val="auto"/>
        </w:rPr>
      </w:pPr>
    </w:p>
    <w:p>
      <w:pPr>
        <w:ind w:firstLine="622"/>
        <w:spacing w:after="0" w:line="219" w:lineRule="auto"/>
        <w:tabs>
          <w:tab w:leader="none" w:pos="1238" w:val="left"/>
        </w:tabs>
        <w:numPr>
          <w:ilvl w:val="1"/>
          <w:numId w:val="74"/>
        </w:numPr>
        <w:rPr>
          <w:rFonts w:ascii="Arial" w:cs="Arial" w:eastAsia="Arial" w:hAnsi="Arial"/>
          <w:sz w:val="21"/>
          <w:szCs w:val="21"/>
          <w:color w:val="auto"/>
        </w:rPr>
      </w:pPr>
      <w:r>
        <w:rPr>
          <w:rFonts w:ascii="Arial" w:cs="Arial" w:eastAsia="Arial" w:hAnsi="Arial"/>
          <w:sz w:val="21"/>
          <w:szCs w:val="21"/>
          <w:color w:val="auto"/>
        </w:rPr>
        <w:t>The Original Lease Expiration Date with respect to the Remaining Premises is hereby changed to January 31, 2024 (the "Third New Expiration Date"). The period from October 30, 2023 (the "Third Extension Commencement Date"), to the Third New Expiration Date is referred to herein as the "Third Extension Term." References in the Lease to the "Term" shall mean the original Term as heretofore or hereafter extended.</w:t>
      </w:r>
    </w:p>
    <w:p>
      <w:pPr>
        <w:spacing w:after="0" w:line="149" w:lineRule="exact"/>
        <w:rPr>
          <w:rFonts w:ascii="Arial" w:cs="Arial" w:eastAsia="Arial" w:hAnsi="Arial"/>
          <w:sz w:val="21"/>
          <w:szCs w:val="21"/>
          <w:color w:val="auto"/>
        </w:rPr>
      </w:pPr>
    </w:p>
    <w:p>
      <w:pPr>
        <w:jc w:val="both"/>
        <w:ind w:right="120" w:firstLine="622"/>
        <w:spacing w:after="0" w:line="272" w:lineRule="auto"/>
        <w:tabs>
          <w:tab w:leader="none" w:pos="12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Commencing on the Third Extension Commencement Date, Tenant shall pay to Landlord monthly Base Rent for the entire Remaining Premises in the amount of $110,517.00 on the first day of each month of the Third Extension Term. The monthly Base Rent for the first month after the Extension Commencement Date shall be payable upon the mutual execution of this Agreement.</w:t>
      </w:r>
    </w:p>
    <w:p>
      <w:pPr>
        <w:spacing w:after="0" w:line="121" w:lineRule="exact"/>
        <w:rPr>
          <w:rFonts w:ascii="Arial" w:cs="Arial" w:eastAsia="Arial" w:hAnsi="Arial"/>
          <w:sz w:val="18"/>
          <w:szCs w:val="18"/>
          <w:color w:val="auto"/>
        </w:rPr>
      </w:pPr>
    </w:p>
    <w:p>
      <w:pPr>
        <w:ind w:right="140" w:firstLine="622"/>
        <w:spacing w:after="0" w:line="249" w:lineRule="auto"/>
        <w:tabs>
          <w:tab w:leader="none" w:pos="123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Tenant is in possession of the Remaining Premises and will accept the same, as of the commencement of the Extension Term in its "as is" condition, without any agreements, representations, understandings or obligations on the part of Landlord to</w:t>
      </w:r>
    </w:p>
    <w:p>
      <w:pPr>
        <w:spacing w:after="0" w:line="1" w:lineRule="exact"/>
        <w:rPr>
          <w:rFonts w:ascii="Arial" w:cs="Arial" w:eastAsia="Arial" w:hAnsi="Arial"/>
          <w:sz w:val="18"/>
          <w:szCs w:val="18"/>
          <w:color w:val="auto"/>
        </w:rPr>
      </w:pPr>
    </w:p>
    <w:p>
      <w:pPr>
        <w:ind w:right="60" w:firstLine="3"/>
        <w:spacing w:after="0" w:line="229" w:lineRule="auto"/>
        <w:tabs>
          <w:tab w:leader="none" w:pos="246" w:val="left"/>
        </w:tabs>
        <w:numPr>
          <w:ilvl w:val="0"/>
          <w:numId w:val="75"/>
        </w:numPr>
        <w:rPr>
          <w:rFonts w:ascii="Arial" w:cs="Arial" w:eastAsia="Arial" w:hAnsi="Arial"/>
          <w:sz w:val="19"/>
          <w:szCs w:val="19"/>
          <w:color w:val="auto"/>
        </w:rPr>
      </w:pPr>
      <w:r>
        <w:rPr>
          <w:rFonts w:ascii="Arial" w:cs="Arial" w:eastAsia="Arial" w:hAnsi="Arial"/>
          <w:sz w:val="19"/>
          <w:szCs w:val="19"/>
          <w:color w:val="auto"/>
        </w:rPr>
        <w:t>perform any alterations, additions, repairs or improvements therein, (ii) fund or otherwise pay for any alterations, additions, repairs or improvements thereto, or (iii) grant Tenant any free rent, concessions, credits or contributions of money with respect to the Remaining Premises, except as may be expressly provided otherwise in this Agreement. Tenant hereby acknowledges that Landlord is currently renovating or may during the Term of the Lease renovate, improve, alter, or modify (collectively, the "Renovations") the Project, the Building and/or the Remaining Premises, including without limitation the parking facilities, the Common Areas, and the systems and equipment, roof and structural portions of the same. Tenant hereby agrees that such Renovations and Landlord's actions in connection with such Renovations shall in no way constitute a constructive eviction of Tenant nor entitle Tenant to any abatement of Rent. Landlord shall have no responsibility and shall not be liable to Tenant for any direct or indirect injury to or interference with Tenant's business arising from the Renovations, nor shall Tenant be entitled to any compensation or damages from Landlord for loss of the use of the whole or any part of the Remaining Premises or of Tenant's personal property or improvements resulting from the Renovations, or for any inconvenience or annoyance occasioned by such Renovations or Landlord's actions in connection with such Renovations, or for any inconvenience or annoyance occasioned by such Renovations or Landlord's actions in connection with such Renovations provided that Landlord shall use reasonable efforts not to interfere with Tenant’s use, occupancy and access to the Remaining Premises.</w:t>
      </w:r>
    </w:p>
    <w:p>
      <w:pPr>
        <w:spacing w:after="0" w:line="157" w:lineRule="exact"/>
        <w:rPr>
          <w:rFonts w:ascii="Arial" w:cs="Arial" w:eastAsia="Arial" w:hAnsi="Arial"/>
          <w:sz w:val="19"/>
          <w:szCs w:val="19"/>
          <w:color w:val="auto"/>
        </w:rPr>
      </w:pPr>
    </w:p>
    <w:p>
      <w:pPr>
        <w:ind w:firstLine="622"/>
        <w:spacing w:after="0" w:line="239" w:lineRule="auto"/>
        <w:tabs>
          <w:tab w:leader="none" w:pos="1238" w:val="left"/>
        </w:tabs>
        <w:numPr>
          <w:ilvl w:val="1"/>
          <w:numId w:val="75"/>
        </w:numPr>
        <w:rPr>
          <w:rFonts w:ascii="Arial" w:cs="Arial" w:eastAsia="Arial" w:hAnsi="Arial"/>
          <w:sz w:val="19"/>
          <w:szCs w:val="19"/>
          <w:color w:val="auto"/>
        </w:rPr>
      </w:pPr>
      <w:r>
        <w:rPr>
          <w:rFonts w:ascii="Arial" w:cs="Arial" w:eastAsia="Arial" w:hAnsi="Arial"/>
          <w:sz w:val="19"/>
          <w:szCs w:val="19"/>
          <w:color w:val="auto"/>
        </w:rPr>
        <w:t>In the event this Agreement is executed after the Third Extension Commencement Date and Tenant has paid Base Rent and amounts payable by Tenant pursuant to the Original Lease that are different than the amounts payable for the period after the third Extension Commencement Date pursuant to this Agreement, Landlord and Tenant shall promptly make an appropriate adjustment to reflect that payment of those different amounts, and any net amount due Tenant shall be credited against Tenant's future rent obligations under the Lease and any net amount due Landlord shall be payable within thirty (30) days after demand.</w:t>
      </w:r>
    </w:p>
    <w:p>
      <w:pPr>
        <w:spacing w:after="0" w:line="149" w:lineRule="exact"/>
        <w:rPr>
          <w:rFonts w:ascii="Arial" w:cs="Arial" w:eastAsia="Arial" w:hAnsi="Arial"/>
          <w:sz w:val="19"/>
          <w:szCs w:val="19"/>
          <w:color w:val="auto"/>
        </w:rPr>
      </w:pPr>
    </w:p>
    <w:p>
      <w:pPr>
        <w:ind w:right="180" w:firstLine="622"/>
        <w:spacing w:after="0" w:line="276" w:lineRule="auto"/>
        <w:tabs>
          <w:tab w:leader="none" w:pos="1238" w:val="left"/>
        </w:tabs>
        <w:numPr>
          <w:ilvl w:val="1"/>
          <w:numId w:val="75"/>
        </w:numPr>
        <w:rPr>
          <w:rFonts w:ascii="Arial" w:cs="Arial" w:eastAsia="Arial" w:hAnsi="Arial"/>
          <w:sz w:val="19"/>
          <w:szCs w:val="19"/>
          <w:color w:val="auto"/>
        </w:rPr>
      </w:pPr>
      <w:r>
        <w:rPr>
          <w:rFonts w:ascii="Arial" w:cs="Arial" w:eastAsia="Arial" w:hAnsi="Arial"/>
          <w:sz w:val="19"/>
          <w:szCs w:val="19"/>
          <w:color w:val="auto"/>
        </w:rPr>
        <w:t>Except as otherwise provided in this Agreement, all of the terms and conditions of the Original Lease shall continue to apply during the Third Extension Term; provided, however, that Tenant shall have no option to extend the term of the Lease.</w:t>
      </w:r>
    </w:p>
    <w:p>
      <w:pPr>
        <w:sectPr>
          <w:pgSz w:w="11900" w:h="16838" w:orient="portrait"/>
          <w:cols w:equalWidth="0" w:num="1">
            <w:col w:w="11200"/>
          </w:cols>
          <w:pgMar w:left="320" w:top="1343" w:right="379" w:bottom="1440" w:gutter="0" w:footer="0" w:header="0"/>
        </w:sectPr>
      </w:pPr>
    </w:p>
    <w:bookmarkStart w:id="129" w:name="page130"/>
    <w:bookmarkEnd w:id="129"/>
    <w:p>
      <w:pPr>
        <w:ind w:left="-620" w:right="40" w:firstLine="622"/>
        <w:spacing w:after="0" w:line="214" w:lineRule="auto"/>
        <w:tabs>
          <w:tab w:leader="none" w:pos="618" w:val="left"/>
        </w:tabs>
        <w:numPr>
          <w:ilvl w:val="0"/>
          <w:numId w:val="76"/>
        </w:numPr>
        <w:rPr>
          <w:rFonts w:ascii="Arial" w:cs="Arial" w:eastAsia="Arial" w:hAnsi="Arial"/>
          <w:sz w:val="21"/>
          <w:szCs w:val="21"/>
          <w:color w:val="auto"/>
        </w:rPr>
      </w:pPr>
      <w:r>
        <w:rPr>
          <w:rFonts w:ascii="Arial" w:cs="Arial" w:eastAsia="Arial" w:hAnsi="Arial"/>
          <w:sz w:val="21"/>
          <w:szCs w:val="21"/>
          <w:color w:val="auto"/>
        </w:rPr>
        <w:t>Landlord hereby represents and warrants to Tenant that it has dealt with no broker, finder or similar person in connection with this Agreement, and Tenant hereby represents and warrants to Landlord that it has dealt with no broker, finder or similar person in connection with this Agreement. Landlord and Tenant shall each defend, indemnify and hold the other harmless with respect to all claims, causes of action, liabilities, losses, costs and expenses (including without limitation attorneys' fees) with respect to any leasing commission or equivalent compensation alleged to be owing on account of the indemnifying party's dealings with any real estate broker, agent, finder or similar person.</w:t>
      </w:r>
    </w:p>
    <w:p>
      <w:pPr>
        <w:spacing w:after="0" w:line="151" w:lineRule="exact"/>
        <w:rPr>
          <w:rFonts w:ascii="Arial" w:cs="Arial" w:eastAsia="Arial" w:hAnsi="Arial"/>
          <w:sz w:val="21"/>
          <w:szCs w:val="21"/>
          <w:color w:val="auto"/>
        </w:rPr>
      </w:pPr>
    </w:p>
    <w:p>
      <w:pPr>
        <w:ind w:left="620" w:hanging="618"/>
        <w:spacing w:after="0"/>
        <w:tabs>
          <w:tab w:leader="none" w:pos="62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As additional consideration for this Agreement, Tenant hereby certifies that:</w:t>
      </w:r>
    </w:p>
    <w:p>
      <w:pPr>
        <w:spacing w:after="0" w:line="171" w:lineRule="exact"/>
        <w:rPr>
          <w:rFonts w:ascii="Arial" w:cs="Arial" w:eastAsia="Arial" w:hAnsi="Arial"/>
          <w:sz w:val="21"/>
          <w:szCs w:val="21"/>
          <w:color w:val="auto"/>
        </w:rPr>
      </w:pPr>
    </w:p>
    <w:p>
      <w:pPr>
        <w:ind w:left="1860" w:hanging="620"/>
        <w:spacing w:after="0"/>
        <w:tabs>
          <w:tab w:leader="none" w:pos="1860"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Original Lease (as amended hereby) is in full force and effect.</w:t>
      </w:r>
    </w:p>
    <w:p>
      <w:pPr>
        <w:spacing w:after="0" w:line="171" w:lineRule="exact"/>
        <w:rPr>
          <w:rFonts w:ascii="Arial" w:cs="Arial" w:eastAsia="Arial" w:hAnsi="Arial"/>
          <w:sz w:val="21"/>
          <w:szCs w:val="21"/>
          <w:color w:val="auto"/>
        </w:rPr>
      </w:pPr>
    </w:p>
    <w:p>
      <w:pPr>
        <w:ind w:right="180" w:firstLine="1240"/>
        <w:spacing w:after="0" w:line="233" w:lineRule="auto"/>
        <w:tabs>
          <w:tab w:leader="none" w:pos="1852" w:val="left"/>
        </w:tabs>
        <w:numPr>
          <w:ilvl w:val="1"/>
          <w:numId w:val="76"/>
        </w:numPr>
        <w:rPr>
          <w:rFonts w:ascii="Arial" w:cs="Arial" w:eastAsia="Arial" w:hAnsi="Arial"/>
          <w:sz w:val="21"/>
          <w:szCs w:val="21"/>
          <w:color w:val="auto"/>
        </w:rPr>
      </w:pPr>
      <w:r>
        <w:rPr>
          <w:rFonts w:ascii="Arial" w:cs="Arial" w:eastAsia="Arial" w:hAnsi="Arial"/>
          <w:sz w:val="21"/>
          <w:szCs w:val="21"/>
          <w:color w:val="auto"/>
        </w:rPr>
        <w:t>Tenant is in possession of the entire Premises and neither the Premises, nor any part thereof, is occupied by any subtenant or other party other than Tenant.</w:t>
      </w:r>
    </w:p>
    <w:p>
      <w:pPr>
        <w:spacing w:after="0" w:line="149" w:lineRule="exact"/>
        <w:rPr>
          <w:rFonts w:ascii="Arial" w:cs="Arial" w:eastAsia="Arial" w:hAnsi="Arial"/>
          <w:sz w:val="21"/>
          <w:szCs w:val="21"/>
          <w:color w:val="auto"/>
        </w:rPr>
      </w:pPr>
    </w:p>
    <w:p>
      <w:pPr>
        <w:ind w:left="1860" w:hanging="620"/>
        <w:spacing w:after="0"/>
        <w:tabs>
          <w:tab w:leader="none" w:pos="18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To Tenant's knowledge, there are no uncured defaults on the part of Landlord or Tenant under the Original</w:t>
      </w:r>
    </w:p>
    <w:p>
      <w:pPr>
        <w:spacing w:after="0" w:line="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1"/>
          <w:szCs w:val="21"/>
          <w:color w:val="auto"/>
        </w:rPr>
        <w:t>Lease.</w:t>
      </w:r>
    </w:p>
    <w:p>
      <w:pPr>
        <w:spacing w:after="0" w:line="153" w:lineRule="exact"/>
        <w:rPr>
          <w:rFonts w:ascii="Arial" w:cs="Arial" w:eastAsia="Arial" w:hAnsi="Arial"/>
          <w:sz w:val="18"/>
          <w:szCs w:val="18"/>
          <w:color w:val="auto"/>
        </w:rPr>
      </w:pPr>
    </w:p>
    <w:p>
      <w:pPr>
        <w:ind w:right="380" w:firstLine="1240"/>
        <w:spacing w:after="0" w:line="233" w:lineRule="auto"/>
        <w:tabs>
          <w:tab w:leader="none" w:pos="1852" w:val="left"/>
        </w:tabs>
        <w:numPr>
          <w:ilvl w:val="1"/>
          <w:numId w:val="76"/>
        </w:numPr>
        <w:rPr>
          <w:rFonts w:ascii="Arial" w:cs="Arial" w:eastAsia="Arial" w:hAnsi="Arial"/>
          <w:sz w:val="21"/>
          <w:szCs w:val="21"/>
          <w:color w:val="auto"/>
        </w:rPr>
      </w:pPr>
      <w:r>
        <w:rPr>
          <w:rFonts w:ascii="Arial" w:cs="Arial" w:eastAsia="Arial" w:hAnsi="Arial"/>
          <w:sz w:val="21"/>
          <w:szCs w:val="21"/>
          <w:color w:val="auto"/>
        </w:rPr>
        <w:t>All of Landlord's obligations with respect to construction of tenant improvements in the Premises and payment of Tenant improvement allowances have been satisfied.</w:t>
      </w:r>
    </w:p>
    <w:p>
      <w:pPr>
        <w:spacing w:after="0" w:line="149" w:lineRule="exact"/>
        <w:rPr>
          <w:rFonts w:ascii="Arial" w:cs="Arial" w:eastAsia="Arial" w:hAnsi="Arial"/>
          <w:sz w:val="21"/>
          <w:szCs w:val="21"/>
          <w:color w:val="auto"/>
        </w:rPr>
      </w:pPr>
    </w:p>
    <w:p>
      <w:pPr>
        <w:ind w:right="120" w:firstLine="1240"/>
        <w:spacing w:after="0" w:line="233" w:lineRule="auto"/>
        <w:tabs>
          <w:tab w:leader="none" w:pos="1853"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There are no existing offsets or defenses which Tenant has against the enforcement of the Original Lease (as amended hereby) by Landlord.</w:t>
      </w:r>
    </w:p>
    <w:p>
      <w:pPr>
        <w:spacing w:after="0" w:line="149" w:lineRule="exact"/>
        <w:rPr>
          <w:rFonts w:ascii="Arial" w:cs="Arial" w:eastAsia="Arial" w:hAnsi="Arial"/>
          <w:sz w:val="21"/>
          <w:szCs w:val="21"/>
          <w:color w:val="auto"/>
        </w:rPr>
      </w:pPr>
    </w:p>
    <w:p>
      <w:pPr>
        <w:ind w:left="1860" w:hanging="620"/>
        <w:spacing w:after="0"/>
        <w:tabs>
          <w:tab w:leader="none" w:pos="1860" w:val="left"/>
        </w:tabs>
        <w:numPr>
          <w:ilvl w:val="1"/>
          <w:numId w:val="76"/>
        </w:numPr>
        <w:rPr>
          <w:rFonts w:ascii="Arial" w:cs="Arial" w:eastAsia="Arial" w:hAnsi="Arial"/>
          <w:sz w:val="21"/>
          <w:szCs w:val="21"/>
          <w:color w:val="auto"/>
        </w:rPr>
      </w:pPr>
      <w:r>
        <w:rPr>
          <w:rFonts w:ascii="Arial" w:cs="Arial" w:eastAsia="Arial" w:hAnsi="Arial"/>
          <w:sz w:val="21"/>
          <w:szCs w:val="21"/>
          <w:color w:val="auto"/>
        </w:rPr>
        <w:t>All of the representations and warranties of Tenant in the Original Lease are remade.</w:t>
      </w:r>
    </w:p>
    <w:p>
      <w:pPr>
        <w:spacing w:after="0" w:line="171" w:lineRule="exact"/>
        <w:rPr>
          <w:rFonts w:ascii="Arial" w:cs="Arial" w:eastAsia="Arial" w:hAnsi="Arial"/>
          <w:sz w:val="21"/>
          <w:szCs w:val="21"/>
          <w:color w:val="auto"/>
        </w:rPr>
      </w:pPr>
    </w:p>
    <w:p>
      <w:pPr>
        <w:ind w:right="20" w:firstLine="1240"/>
        <w:spacing w:after="0" w:line="233" w:lineRule="auto"/>
        <w:tabs>
          <w:tab w:leader="none" w:pos="1852" w:val="left"/>
        </w:tabs>
        <w:numPr>
          <w:ilvl w:val="1"/>
          <w:numId w:val="76"/>
        </w:numPr>
        <w:rPr>
          <w:rFonts w:ascii="Arial" w:cs="Arial" w:eastAsia="Arial" w:hAnsi="Arial"/>
          <w:sz w:val="21"/>
          <w:szCs w:val="21"/>
          <w:color w:val="auto"/>
        </w:rPr>
      </w:pPr>
      <w:r>
        <w:rPr>
          <w:rFonts w:ascii="Arial" w:cs="Arial" w:eastAsia="Arial" w:hAnsi="Arial"/>
          <w:sz w:val="21"/>
          <w:szCs w:val="21"/>
          <w:color w:val="auto"/>
        </w:rPr>
        <w:t>Tenant holds all right, title and interest of the tenant in and to the Original Lease and the Premises and has not transferred, encumbered, assigned or sublet any interest therein or portion thereof.</w:t>
      </w:r>
    </w:p>
    <w:p>
      <w:pPr>
        <w:spacing w:after="0" w:line="149" w:lineRule="exact"/>
        <w:rPr>
          <w:rFonts w:ascii="Arial" w:cs="Arial" w:eastAsia="Arial" w:hAnsi="Arial"/>
          <w:sz w:val="21"/>
          <w:szCs w:val="21"/>
          <w:color w:val="auto"/>
        </w:rPr>
      </w:pPr>
    </w:p>
    <w:p>
      <w:pPr>
        <w:ind w:left="-620" w:right="20" w:firstLine="622"/>
        <w:spacing w:after="0" w:line="231" w:lineRule="auto"/>
        <w:tabs>
          <w:tab w:leader="none" w:pos="618" w:val="left"/>
        </w:tabs>
        <w:numPr>
          <w:ilvl w:val="0"/>
          <w:numId w:val="76"/>
        </w:numPr>
        <w:rPr>
          <w:rFonts w:ascii="Arial" w:cs="Arial" w:eastAsia="Arial" w:hAnsi="Arial"/>
          <w:sz w:val="19"/>
          <w:szCs w:val="19"/>
          <w:color w:val="auto"/>
        </w:rPr>
      </w:pPr>
      <w:r>
        <w:rPr>
          <w:rFonts w:ascii="Arial" w:cs="Arial" w:eastAsia="Arial" w:hAnsi="Arial"/>
          <w:sz w:val="19"/>
          <w:szCs w:val="19"/>
          <w:color w:val="auto"/>
        </w:rPr>
        <w:t>Tenant represents and warrants to Landlord, as of the date hereof and as of the Contraction Date, that (a) Tenant has not assigned or sublet all or any portion of its interest in the Excluded Space under the Lease; (b) no other person, firm or entity has any right, title or interest in the Excluded Space under the Lease; (c) Tenant has the full right, legal power and actual authority to enter into this Agreement without the consent of any person, firm or entity; (d) the individual(s) executing this Agreement on behalf of Tenant has the full right, legal power and actual authority to bind tenant to the terms and conditions hereof, (e) as of the date of this Agreement, Tenant is not insolvent, (f) neither the payment of the Contraction Fee nor the performance of any other obligation of Tenant under this Agreement shall cause Tenant to become insolvent, and (g) as of the Contraction Date, there will be no mechanic's liens on account of work performed at the Premises or in the Building by Tenant or on Tenant's behalf or other liens encumbering all or any portion of the Premises, by virtue of any act or omission on the part of Tenant, its contractors, agents, employees, successors or assigns. Notwithstanding the termination of the Lease and the release of liability provided herein, the representations and warranties set forth in this Section 10 shall survive the Contraction Date and Tenant and the individuals executing this Agreement on behalf of Tenant shall be liable to Landlord for any inaccuracy or any breach thereof.</w:t>
      </w:r>
    </w:p>
    <w:p>
      <w:pPr>
        <w:spacing w:after="0" w:line="157" w:lineRule="exact"/>
        <w:rPr>
          <w:rFonts w:ascii="Arial" w:cs="Arial" w:eastAsia="Arial" w:hAnsi="Arial"/>
          <w:sz w:val="19"/>
          <w:szCs w:val="19"/>
          <w:color w:val="auto"/>
        </w:rPr>
      </w:pPr>
    </w:p>
    <w:p>
      <w:pPr>
        <w:ind w:left="-620" w:firstLine="622"/>
        <w:spacing w:after="0" w:line="233" w:lineRule="auto"/>
        <w:tabs>
          <w:tab w:leader="none" w:pos="610" w:val="left"/>
        </w:tabs>
        <w:numPr>
          <w:ilvl w:val="0"/>
          <w:numId w:val="76"/>
        </w:numPr>
        <w:rPr>
          <w:rFonts w:ascii="Arial" w:cs="Arial" w:eastAsia="Arial" w:hAnsi="Arial"/>
          <w:sz w:val="21"/>
          <w:szCs w:val="21"/>
          <w:color w:val="auto"/>
        </w:rPr>
      </w:pPr>
      <w:r>
        <w:rPr>
          <w:rFonts w:ascii="Arial" w:cs="Arial" w:eastAsia="Arial" w:hAnsi="Arial"/>
          <w:sz w:val="21"/>
          <w:szCs w:val="21"/>
          <w:color w:val="auto"/>
        </w:rPr>
        <w:t>Except as specifically provided herein, the terms and conditions of the Original Lease as amended hereby are ratified and confirmed and shall continue in full force and effect.</w:t>
      </w:r>
    </w:p>
    <w:p>
      <w:pPr>
        <w:sectPr>
          <w:pgSz w:w="11900" w:h="16838" w:orient="portrait"/>
          <w:cols w:equalWidth="0" w:num="1">
            <w:col w:w="10620"/>
          </w:cols>
          <w:pgMar w:left="940" w:top="1343" w:right="339" w:bottom="1440" w:gutter="0" w:footer="0" w:header="0"/>
        </w:sectPr>
      </w:pPr>
    </w:p>
    <w:bookmarkStart w:id="130" w:name="page131"/>
    <w:bookmarkEnd w:id="130"/>
    <w:p>
      <w:pPr>
        <w:ind w:right="40"/>
        <w:spacing w:after="0" w:line="243" w:lineRule="auto"/>
        <w:rPr>
          <w:sz w:val="20"/>
          <w:szCs w:val="20"/>
          <w:color w:val="auto"/>
        </w:rPr>
      </w:pPr>
      <w:r>
        <w:rPr>
          <w:rFonts w:ascii="Arial" w:cs="Arial" w:eastAsia="Arial" w:hAnsi="Arial"/>
          <w:sz w:val="18"/>
          <w:szCs w:val="18"/>
          <w:color w:val="auto"/>
        </w:rPr>
        <w:t>This Agreement shall be binding on the heirs, administrators, successors and assigns (as the case may be) of the parties hereto. This Agreement and the Original Lease constitute the entire agreement of the parties with respect to all matters discussed herein and therein, including, but not limited to, all matters relating to the Premises and the leasing relationship and supersede all other agreements and understandings between the parties, both written and oral. Under no circumstances shall Tenant be entitled to any Rent abatement, improvement allowance, leasehold improvements, or other work to the Premises, or any similar economic incentives that may have been provided to Tenant in connection with entering into the Original Lease, unless specifically set forth in this Agreement. Tenant agrees that neither Tenant nor its agents or any other parties acting on behalf of Tenant shall disclose any matters set forth in this Agreement or disseminate or distribute any information concerning the terms, details or conditions hereof to any person, firm or entity without obtaining the express written consent of Landlord. In the case of any inconsistency between the provisions of the Original Lease and this Agreement, the provisions of this Agreement shall govern and control. Submission of this Agreement by Landlord is not an offer to enter into this Agreement but rather is a solicitation for such an offer by Tenant. Landlord shall not be bound by this Agreement until Landlord has executed and delivered the same to Tenant. Time is of the essence of this Agreement and the provisions contained herein. Each signatory of this Agreement represents that she or he has the authority to execute and deliver the same on behalf of the party for which such signatory is acting, and that upon the execution by such signatory, this Agreement is binding on behalf of the party for which such signatory is acting and enforceable against such party in accordance with its terms.</w:t>
      </w:r>
    </w:p>
    <w:p>
      <w:pPr>
        <w:spacing w:after="0" w:line="157" w:lineRule="exact"/>
        <w:rPr>
          <w:sz w:val="20"/>
          <w:szCs w:val="20"/>
          <w:color w:val="auto"/>
        </w:rPr>
      </w:pPr>
    </w:p>
    <w:p>
      <w:pPr>
        <w:ind w:left="1240" w:hanging="618"/>
        <w:spacing w:after="0"/>
        <w:tabs>
          <w:tab w:leader="none" w:pos="124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Tenant Compliance</w:t>
      </w:r>
      <w:r>
        <w:rPr>
          <w:rFonts w:ascii="Arial" w:cs="Arial" w:eastAsia="Arial" w:hAnsi="Arial"/>
          <w:sz w:val="21"/>
          <w:szCs w:val="21"/>
          <w:color w:val="auto"/>
        </w:rPr>
        <w:t>.</w:t>
      </w:r>
    </w:p>
    <w:p>
      <w:pPr>
        <w:spacing w:after="0" w:line="171" w:lineRule="exact"/>
        <w:rPr>
          <w:sz w:val="20"/>
          <w:szCs w:val="20"/>
          <w:color w:val="auto"/>
        </w:rPr>
      </w:pPr>
    </w:p>
    <w:p>
      <w:pPr>
        <w:ind w:right="20" w:firstLine="1238"/>
        <w:spacing w:after="0" w:line="220" w:lineRule="auto"/>
        <w:rPr>
          <w:sz w:val="20"/>
          <w:szCs w:val="20"/>
          <w:color w:val="auto"/>
        </w:rPr>
      </w:pPr>
      <w:r>
        <w:rPr>
          <w:rFonts w:ascii="Arial" w:cs="Arial" w:eastAsia="Arial" w:hAnsi="Arial"/>
          <w:sz w:val="20"/>
          <w:szCs w:val="20"/>
          <w:color w:val="auto"/>
        </w:rPr>
        <w:t>1.1 Tenant certifies, represents, warrants and covenants to Landlord that: (i) it is not, and shall not during the Term of the Lease become, a person or entity with whom Landlord is restricted from doing business under the Uniting and Strengthening America by Providing Appropriate Tools Required to Intercept and Obstruct Terrorism Act of 2001, H. R. 3162, Public Law 107-56 (commonly known as the "USA Patriot Act") and Executive Order Number 13224 on Terrorism Financing, effective September 24, 2001 and regulations promulgated pursuant thereto (collectively, "Anti-Terrorism Laws"), including, without limitation, persons and entities named on the Office of Foreign Assets Control Specially Designated Nationals and Blocked Persons List (collectively, "Prohibited Persons"); (ii) to the best of its knowledge, it is not currently engaged in any transactions, provision of services to, or dealings with, or otherwise associated with, any Prohibited Persons, nor otherwise engaged in any activity that would violate Anti-Terrorism Laws in connection with the use or occupancy of the Premises or the Building; and (iii) it will not, during the Term of the Lease, engage in any transactions, provide services to, deal with, or be otherwise associated with, any Prohibited Persons, nor will it engage in any other activity that would violate Anti-Terrorism Laws in connection with the use or occupancy of the Premises or the Building.</w:t>
      </w:r>
    </w:p>
    <w:p>
      <w:pPr>
        <w:spacing w:after="0" w:line="152" w:lineRule="exact"/>
        <w:rPr>
          <w:sz w:val="20"/>
          <w:szCs w:val="20"/>
          <w:color w:val="auto"/>
        </w:rPr>
      </w:pPr>
    </w:p>
    <w:p>
      <w:pPr>
        <w:ind w:firstLine="1238"/>
        <w:spacing w:after="0" w:line="221" w:lineRule="auto"/>
        <w:rPr>
          <w:sz w:val="20"/>
          <w:szCs w:val="20"/>
          <w:color w:val="auto"/>
        </w:rPr>
      </w:pPr>
      <w:r>
        <w:rPr>
          <w:rFonts w:ascii="Arial" w:cs="Arial" w:eastAsia="Arial" w:hAnsi="Arial"/>
          <w:sz w:val="20"/>
          <w:szCs w:val="20"/>
          <w:color w:val="auto"/>
        </w:rPr>
        <w:t>1.2 Tenant certifies, represents, warrants and covenants to Landlord that it shall not during the Term of the Lease engage in activities that would violate the provisions of the U.S. Foreign Corrupt Practices Act and the anti-bribery laws of other nations generally. Accordingly, (i) Tenant has not, and shall not, in connection with its performance under the Lease, or in connection with any other business transactions involving Landlord or the Premises, made, promised, or offered to make any payment or transfer of anything of value, directly or indirectly to any US or non-US government official or to an intermediary for payment to any such government official; and, (ii) Tenant has not, and shall not, in connection with its performance under the Lease, or in connection with any other business transactions involving Landlord or the Premises, made, promised, or offered to make any payments or transfers of value that have the purpose or effect of public or commercial bribery, or acceptance of or acquiescence in extortion, kickbacks, or other unlawful or improper means of obtaining business.</w:t>
      </w:r>
    </w:p>
    <w:p>
      <w:pPr>
        <w:sectPr>
          <w:pgSz w:w="11900" w:h="16838" w:orient="portrait"/>
          <w:cols w:equalWidth="0" w:num="1">
            <w:col w:w="11240"/>
          </w:cols>
          <w:pgMar w:left="320" w:top="1343" w:right="339" w:bottom="1440" w:gutter="0" w:footer="0" w:header="0"/>
        </w:sectPr>
      </w:pPr>
    </w:p>
    <w:bookmarkStart w:id="131" w:name="page132"/>
    <w:bookmarkEnd w:id="131"/>
    <w:p>
      <w:pPr>
        <w:ind w:right="60" w:firstLine="1238"/>
        <w:spacing w:after="0" w:line="216" w:lineRule="auto"/>
        <w:rPr>
          <w:sz w:val="20"/>
          <w:szCs w:val="20"/>
          <w:color w:val="auto"/>
        </w:rPr>
      </w:pPr>
      <w:r>
        <w:rPr>
          <w:rFonts w:ascii="Arial" w:cs="Arial" w:eastAsia="Arial" w:hAnsi="Arial"/>
          <w:sz w:val="21"/>
          <w:szCs w:val="21"/>
          <w:color w:val="auto"/>
        </w:rPr>
        <w:t>1.3 Tenant certifies, represents, warrants and covenants to Landlord that it shall not during the Term of the Lease engage in activities that would violate the provisions of the US Bank Secrecy Act as amended by the USA Patriot Act ("AML Laws"). In this regard Tenant will not engage in, facilitate or permit the Premises or the Building to be used in connection with transactions that in any way involve the proceeds of crime under US law or are related to the financing of terrorist activities. Further, Tenant will not use proceeds of crime to pay its obligations under the Lease.</w:t>
      </w:r>
    </w:p>
    <w:p>
      <w:pPr>
        <w:spacing w:after="0" w:line="151" w:lineRule="exact"/>
        <w:rPr>
          <w:sz w:val="20"/>
          <w:szCs w:val="20"/>
          <w:color w:val="auto"/>
        </w:rPr>
      </w:pPr>
    </w:p>
    <w:p>
      <w:pPr>
        <w:ind w:right="20" w:firstLine="1238"/>
        <w:spacing w:after="0" w:line="233" w:lineRule="auto"/>
        <w:rPr>
          <w:sz w:val="20"/>
          <w:szCs w:val="20"/>
          <w:color w:val="auto"/>
        </w:rPr>
      </w:pPr>
      <w:r>
        <w:rPr>
          <w:rFonts w:ascii="Arial" w:cs="Arial" w:eastAsia="Arial" w:hAnsi="Arial"/>
          <w:sz w:val="19"/>
          <w:szCs w:val="19"/>
          <w:color w:val="auto"/>
        </w:rPr>
        <w:t>1.4 If at any time after the date hereof Tenant becomes a Prohibited Person or is accused by The Office of Foreign Assets Control or other Federal Authorities of being associated with a person designated as a Prohibited Person, then it shall notify Landlord within five (5) business days after becoming aware of such designation. If at any time after the date hereof Tenant becomes a Prohibited Person or Tenant otherwise breaches any certification, representation, warranty or covenant set forth in this Section 12.4, then such event shall constitute an event of default hereunder and under the Lease, entitling Landlord to any and all remedies under the Lease or at law or in equity (including the right to terminate the Lease), without affording Tenant any notice or cure period. Tenant hereby agrees to defend (with counsel reasonably acceptable to Landlord), indemnify, and hold harmless Landlord from and against any and all claims arising from or related to any such breach of the foregoing certifications, representations, warranties and covenants. Tenant's indemnification obligations in this Section 12.4 shall survive the expiration or earlier termination of the Lease.</w:t>
      </w:r>
    </w:p>
    <w:p>
      <w:pPr>
        <w:spacing w:after="0" w:line="154" w:lineRule="exact"/>
        <w:rPr>
          <w:sz w:val="20"/>
          <w:szCs w:val="20"/>
          <w:color w:val="auto"/>
        </w:rPr>
      </w:pPr>
    </w:p>
    <w:p>
      <w:pPr>
        <w:ind w:right="200" w:firstLine="622"/>
        <w:spacing w:after="0" w:line="249" w:lineRule="auto"/>
        <w:tabs>
          <w:tab w:leader="none" w:pos="123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Tenant represents, warrants and covenants to Landlord that, as of the date hereof and throughout the term of the Lease, Tenant is not, and is not entering into the Lease on behalf of, (i) an employee benefit plan, (ii) a trust holding assets of such a plan or</w:t>
      </w:r>
    </w:p>
    <w:p>
      <w:pPr>
        <w:spacing w:after="0" w:line="1" w:lineRule="exact"/>
        <w:rPr>
          <w:rFonts w:ascii="Arial" w:cs="Arial" w:eastAsia="Arial" w:hAnsi="Arial"/>
          <w:sz w:val="18"/>
          <w:szCs w:val="18"/>
          <w:color w:val="auto"/>
        </w:rPr>
      </w:pPr>
    </w:p>
    <w:p>
      <w:pPr>
        <w:ind w:firstLine="3"/>
        <w:spacing w:after="0" w:line="219" w:lineRule="auto"/>
        <w:tabs>
          <w:tab w:leader="none" w:pos="361" w:val="left"/>
        </w:tabs>
        <w:numPr>
          <w:ilvl w:val="0"/>
          <w:numId w:val="79"/>
        </w:numPr>
        <w:rPr>
          <w:rFonts w:ascii="Arial" w:cs="Arial" w:eastAsia="Arial" w:hAnsi="Arial"/>
          <w:sz w:val="20"/>
          <w:szCs w:val="20"/>
          <w:color w:val="auto"/>
        </w:rPr>
      </w:pPr>
      <w:r>
        <w:rPr>
          <w:rFonts w:ascii="Arial" w:cs="Arial" w:eastAsia="Arial" w:hAnsi="Arial"/>
          <w:sz w:val="20"/>
          <w:szCs w:val="20"/>
          <w:color w:val="auto"/>
        </w:rPr>
        <w:t>an entity holding assets of such a plan. Notwithstanding any terms to the contrary in the Lease or this Agreement, in no event may Tenant assign or transfer its interest under the Lease to a third party who is, or is entering into the Lease on behalf of, (i) an employee benefit plan, (ii) a trust holding assets of such a plan or (iii) an entity holding assets of such a plan if such transfer would could cause Landlord to incur any prohibited transaction excise tax penalties or other materially adverse consequences under the Employee Retirement Income Security Act of 1974, as amended, Section 4975 of the Internal Revenue Code of 1986, as amended or similar law. Tenant represents and warrants to Landlord that (i) neither Tenant nor any of its "affiliates" has the authority (A) to appoint or terminate PGIM, Inc. ("PGIM") as investment manager of the PRISA II Separate Account, (B) to negotiate the terms of a management agreement between PGIM and the PRISA II Separate Account or (C) to cause an investment in or withdrawal from the PRISA II Separate Account and (ii) Tenant is not "related" to PGIM (within the meaning of Part VI(h) of Department of Labor Prohibited Transaction Exemption 84-14).</w:t>
      </w:r>
    </w:p>
    <w:p>
      <w:pPr>
        <w:spacing w:after="0" w:line="152" w:lineRule="exact"/>
        <w:rPr>
          <w:rFonts w:ascii="Arial" w:cs="Arial" w:eastAsia="Arial" w:hAnsi="Arial"/>
          <w:sz w:val="20"/>
          <w:szCs w:val="20"/>
          <w:color w:val="auto"/>
        </w:rPr>
      </w:pPr>
    </w:p>
    <w:p>
      <w:pPr>
        <w:ind w:right="20" w:firstLine="622"/>
        <w:spacing w:after="0" w:line="220" w:lineRule="auto"/>
        <w:tabs>
          <w:tab w:leader="none" w:pos="1238" w:val="left"/>
        </w:tabs>
        <w:numPr>
          <w:ilvl w:val="1"/>
          <w:numId w:val="79"/>
        </w:numPr>
        <w:rPr>
          <w:rFonts w:ascii="Arial" w:cs="Arial" w:eastAsia="Arial" w:hAnsi="Arial"/>
          <w:sz w:val="20"/>
          <w:szCs w:val="20"/>
          <w:color w:val="auto"/>
        </w:rPr>
      </w:pPr>
      <w:r>
        <w:rPr>
          <w:rFonts w:ascii="Arial" w:cs="Arial" w:eastAsia="Arial" w:hAnsi="Arial"/>
          <w:sz w:val="20"/>
          <w:szCs w:val="20"/>
          <w:color w:val="auto"/>
        </w:rPr>
        <w:t>Pursuant to California Civil Code Section 1938, Tenant is hereby notified that, as of the date hereof, the Building has not undergone an inspection by a "Certified Access Specialist" and except to the extent expressly set forth in the Lease, Landlord shall have no liability or responsibility to make any repairs or modifications to the Premises or the Project in order to comply with accessibility standards. The following disclosure is hereby made pursuant to applicable California law: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Tenant acknowledges that Landlord has made no representation regarding</w:t>
      </w:r>
    </w:p>
    <w:p>
      <w:pPr>
        <w:sectPr>
          <w:pgSz w:w="11900" w:h="16838" w:orient="portrait"/>
          <w:cols w:equalWidth="0" w:num="1">
            <w:col w:w="11240"/>
          </w:cols>
          <w:pgMar w:left="320" w:top="1343" w:right="339" w:bottom="1440" w:gutter="0" w:footer="0" w:header="0"/>
        </w:sectPr>
      </w:pPr>
    </w:p>
    <w:bookmarkStart w:id="132" w:name="page133"/>
    <w:bookmarkEnd w:id="132"/>
    <w:p>
      <w:pPr>
        <w:ind w:right="340"/>
        <w:spacing w:after="0" w:line="305" w:lineRule="auto"/>
        <w:rPr>
          <w:sz w:val="20"/>
          <w:szCs w:val="20"/>
          <w:color w:val="auto"/>
        </w:rPr>
      </w:pPr>
      <w:r>
        <w:rPr>
          <w:rFonts w:ascii="Arial" w:cs="Arial" w:eastAsia="Arial" w:hAnsi="Arial"/>
          <w:sz w:val="18"/>
          <w:szCs w:val="18"/>
          <w:color w:val="auto"/>
        </w:rPr>
        <w:t>compliance of the Premises or the Project with accessibility standards. Any CASp inspection shall be conducted in compliance with reasonable rules in effect at the Building with regard to such inspections and shall be subject to Landlord's prior written consent.</w:t>
      </w:r>
    </w:p>
    <w:p>
      <w:pPr>
        <w:spacing w:after="0" w:line="93" w:lineRule="exact"/>
        <w:rPr>
          <w:sz w:val="20"/>
          <w:szCs w:val="20"/>
          <w:color w:val="auto"/>
        </w:rPr>
      </w:pPr>
    </w:p>
    <w:p>
      <w:pPr>
        <w:ind w:right="60" w:firstLine="622"/>
        <w:spacing w:after="0" w:line="230" w:lineRule="auto"/>
        <w:tabs>
          <w:tab w:leader="none" w:pos="1238" w:val="left"/>
        </w:tabs>
        <w:numPr>
          <w:ilvl w:val="0"/>
          <w:numId w:val="80"/>
        </w:numPr>
        <w:rPr>
          <w:rFonts w:ascii="Arial" w:cs="Arial" w:eastAsia="Arial" w:hAnsi="Arial"/>
          <w:sz w:val="20"/>
          <w:szCs w:val="20"/>
          <w:color w:val="auto"/>
        </w:rPr>
      </w:pPr>
      <w:r>
        <w:rPr>
          <w:rFonts w:ascii="Arial" w:cs="Arial" w:eastAsia="Arial" w:hAnsi="Arial"/>
          <w:sz w:val="20"/>
          <w:szCs w:val="20"/>
          <w:color w:val="auto"/>
        </w:rPr>
        <w:t>Notwithstanding anything to the contrary in the Lease, Tenant's obligation to pay rent and other amounts due under the Lease shall not be abated or limited in the event access to, use of, and/or services provided to the Premises, the Building, and/or the Project is or are prevented, limited or impaired in compliance with Applicable Laws or as a precaution in connection with a community health emergency, including any epidemic, quarantine, or infectious disease-related outbreak.</w:t>
      </w:r>
    </w:p>
    <w:p>
      <w:pPr>
        <w:spacing w:after="0" w:line="149" w:lineRule="exact"/>
        <w:rPr>
          <w:rFonts w:ascii="Arial" w:cs="Arial" w:eastAsia="Arial" w:hAnsi="Arial"/>
          <w:sz w:val="20"/>
          <w:szCs w:val="20"/>
          <w:color w:val="auto"/>
        </w:rPr>
      </w:pPr>
    </w:p>
    <w:p>
      <w:pPr>
        <w:ind w:right="100" w:firstLine="622"/>
        <w:spacing w:after="0" w:line="224" w:lineRule="auto"/>
        <w:tabs>
          <w:tab w:leader="none" w:pos="1238" w:val="left"/>
        </w:tabs>
        <w:numPr>
          <w:ilvl w:val="0"/>
          <w:numId w:val="80"/>
        </w:numPr>
        <w:rPr>
          <w:rFonts w:ascii="Arial" w:cs="Arial" w:eastAsia="Arial" w:hAnsi="Arial"/>
          <w:sz w:val="21"/>
          <w:szCs w:val="21"/>
          <w:color w:val="auto"/>
        </w:rPr>
      </w:pPr>
      <w:r>
        <w:rPr>
          <w:rFonts w:ascii="Arial" w:cs="Arial" w:eastAsia="Arial" w:hAnsi="Arial"/>
          <w:sz w:val="21"/>
          <w:szCs w:val="21"/>
          <w:color w:val="auto"/>
        </w:rPr>
        <w:t>If Tenant is billed directly by a public utility with respect to Tenant's electrical usage at the Premises, upon request from time to time, Tenant shall provide monthly electrical utility usage for the Premises to Landlord for the period of time requested by Landlord (in electronic or paper format).</w:t>
      </w:r>
    </w:p>
    <w:p>
      <w:pPr>
        <w:spacing w:after="0" w:line="148" w:lineRule="exact"/>
        <w:rPr>
          <w:rFonts w:ascii="Arial" w:cs="Arial" w:eastAsia="Arial" w:hAnsi="Arial"/>
          <w:sz w:val="21"/>
          <w:szCs w:val="21"/>
          <w:color w:val="auto"/>
        </w:rPr>
      </w:pPr>
    </w:p>
    <w:p>
      <w:pPr>
        <w:ind w:firstLine="622"/>
        <w:spacing w:after="0" w:line="245" w:lineRule="auto"/>
        <w:tabs>
          <w:tab w:leader="none" w:pos="123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Termination Right</w:t>
      </w:r>
      <w:r>
        <w:rPr>
          <w:rFonts w:ascii="Arial" w:cs="Arial" w:eastAsia="Arial" w:hAnsi="Arial"/>
          <w:sz w:val="18"/>
          <w:szCs w:val="18"/>
          <w:color w:val="auto"/>
        </w:rPr>
        <w:t>. Notwithstanding anything in this Agreement to the contrary, provided that no default has occurred under the Lease and no circumstances exist which with the passage of time or the giving of notice or both would ripen into a default, Tenant shall have the one-time right to cause the early expiration of the Term of the Lease effective as of the Original Lease Expiration Date (the "Early Termination Date"), upon satisfaction of each of the conditions set forth in this Section 17. If Tenant wishes to exercise its right to cause the early expiration of the Term of the Lease, Tenant must deliver written notice (the "Early Termination Notice") to Landlord by no later than the date (the "Termination Notice Date") that is sixty (60) days prior to the Contraction Date, of its election to cause the early expiration of the term of this Lease. If Tenant timely and properly delivers the Early Termination Notice, (a) the Early Termination Date shall thereafter be deemed the effective expiration date of the Term for all purposes under the Lease, (b) any rights of Tenant to relocate the Premises, contract the Premises, expand the Premises or extend the term of this Lease shall be of no further force or effect and (c) Tenant shall vacate the entire Premises prior to the Early Termination Date and shall comply with all terms of the Lease with respect to the condition of the Premises as of the Expiration Date and the terms of surrender thereof.</w:t>
      </w:r>
    </w:p>
    <w:p>
      <w:pPr>
        <w:spacing w:after="0" w:line="150" w:lineRule="exact"/>
        <w:rPr>
          <w:rFonts w:ascii="Arial" w:cs="Arial" w:eastAsia="Arial" w:hAnsi="Arial"/>
          <w:sz w:val="18"/>
          <w:szCs w:val="18"/>
          <w:color w:val="auto"/>
        </w:rPr>
      </w:pPr>
    </w:p>
    <w:p>
      <w:pPr>
        <w:ind w:firstLine="622"/>
        <w:spacing w:after="0" w:line="237" w:lineRule="auto"/>
        <w:tabs>
          <w:tab w:leader="none" w:pos="1238"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This Agreement may be executed in multiple counterparts, each of which shall constitute an original, and all of which shall constitute one document. Electronic signatures are deemed to be equivalent to original signatures for purposes of this Agreement. The exchange of copies of this Agreement and of signature pages by electronic mail in "portable document format" (".pdf"), or by any other electronic means intended to preserve the original appearance of a document, shall constitute effective execution and delivery of this Agreement to the parties and may be used in lieu of an original hard-copy agreement. Tenant hereby consents to the use of any third party electronic signature capture service providers as may be chosen by Landlord.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Signatures on Following Page</w:t>
      </w:r>
      <w:r>
        <w:rPr>
          <w:rFonts w:ascii="Arial" w:cs="Arial" w:eastAsia="Arial" w:hAnsi="Arial"/>
          <w:sz w:val="21"/>
          <w:szCs w:val="21"/>
          <w:color w:val="auto"/>
        </w:rPr>
        <w:t>]</w:t>
      </w:r>
    </w:p>
    <w:p>
      <w:pPr>
        <w:sectPr>
          <w:pgSz w:w="11900" w:h="16838" w:orient="portrait"/>
          <w:cols w:equalWidth="0" w:num="1">
            <w:col w:w="11240"/>
          </w:cols>
          <w:pgMar w:left="320" w:top="1343" w:right="339" w:bottom="1440" w:gutter="0" w:footer="0" w:header="0"/>
        </w:sectPr>
      </w:pPr>
    </w:p>
    <w:bookmarkStart w:id="133" w:name="page134"/>
    <w:bookmarkEnd w:id="133"/>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WITNESS WHEREOF, this Agreement was executed as of the date first above written.</w:t>
      </w:r>
    </w:p>
    <w:p>
      <w:pPr>
        <w:sectPr>
          <w:pgSz w:w="11900" w:h="16838" w:orient="portrait"/>
          <w:cols w:equalWidth="0" w:num="1">
            <w:col w:w="9019"/>
          </w:cols>
          <w:pgMar w:left="1440" w:top="1440" w:right="1440" w:bottom="1440" w:gutter="0" w:footer="0" w:header="0"/>
        </w:sectPr>
      </w:pPr>
    </w:p>
    <w:p>
      <w:pPr>
        <w:spacing w:after="0" w:line="240"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Landlord:</w:t>
      </w:r>
    </w:p>
    <w:p>
      <w:pPr>
        <w:ind w:left="4240"/>
        <w:spacing w:after="0" w:line="215" w:lineRule="auto"/>
        <w:rPr>
          <w:sz w:val="20"/>
          <w:szCs w:val="20"/>
          <w:color w:val="auto"/>
        </w:rPr>
      </w:pPr>
      <w:r>
        <w:rPr>
          <w:rFonts w:ascii="Arial" w:cs="Arial" w:eastAsia="Arial" w:hAnsi="Arial"/>
          <w:sz w:val="20"/>
          <w:szCs w:val="20"/>
          <w:color w:val="auto"/>
        </w:rPr>
        <w:t>WESTPORT OFFICE PARK, LLC,</w:t>
      </w:r>
    </w:p>
    <w:p>
      <w:pPr>
        <w:ind w:left="4240"/>
        <w:spacing w:after="0"/>
        <w:rPr>
          <w:sz w:val="20"/>
          <w:szCs w:val="20"/>
          <w:color w:val="auto"/>
        </w:rPr>
      </w:pPr>
      <w:r>
        <w:rPr>
          <w:rFonts w:ascii="Arial" w:cs="Arial" w:eastAsia="Arial" w:hAnsi="Arial"/>
          <w:sz w:val="19"/>
          <w:szCs w:val="19"/>
          <w:color w:val="auto"/>
        </w:rPr>
        <w:t>a Delaware limited liability company</w:t>
      </w:r>
    </w:p>
    <w:p>
      <w:pPr>
        <w:spacing w:after="0" w:line="200" w:lineRule="exact"/>
        <w:rPr>
          <w:sz w:val="20"/>
          <w:szCs w:val="20"/>
          <w:color w:val="auto"/>
        </w:rPr>
      </w:pPr>
    </w:p>
    <w:p>
      <w:pPr>
        <w:spacing w:after="0" w:line="371"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Jessica Brock</w:t>
      </w:r>
    </w:p>
    <w:p>
      <w:pPr>
        <w:ind w:left="4240"/>
        <w:spacing w:after="0"/>
        <w:rPr>
          <w:sz w:val="20"/>
          <w:szCs w:val="20"/>
          <w:color w:val="auto"/>
        </w:rPr>
      </w:pPr>
      <w:r>
        <w:rPr>
          <w:rFonts w:ascii="Arial" w:cs="Arial" w:eastAsia="Arial" w:hAnsi="Arial"/>
          <w:sz w:val="21"/>
          <w:szCs w:val="21"/>
          <w:color w:val="auto"/>
        </w:rPr>
        <w:t>Its Authorized Agent</w:t>
      </w:r>
    </w:p>
    <w:p>
      <w:pPr>
        <w:spacing w:after="0" w:line="394" w:lineRule="exact"/>
        <w:rPr>
          <w:sz w:val="20"/>
          <w:szCs w:val="20"/>
          <w:color w:val="auto"/>
        </w:rPr>
      </w:pPr>
    </w:p>
    <w:p>
      <w:pPr>
        <w:ind w:left="424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Jessica Brock</w:t>
      </w:r>
    </w:p>
    <w:p>
      <w:pPr>
        <w:ind w:left="4600"/>
        <w:spacing w:after="0"/>
        <w:rPr>
          <w:sz w:val="20"/>
          <w:szCs w:val="20"/>
          <w:color w:val="auto"/>
        </w:rPr>
      </w:pPr>
      <w:r>
        <w:rPr>
          <w:rFonts w:ascii="Arial" w:cs="Arial" w:eastAsia="Arial" w:hAnsi="Arial"/>
          <w:sz w:val="21"/>
          <w:szCs w:val="21"/>
          <w:color w:val="auto"/>
        </w:rPr>
        <w:t>[Printed Name and Title]</w:t>
      </w:r>
    </w:p>
    <w:p>
      <w:pPr>
        <w:sectPr>
          <w:pgSz w:w="11900" w:h="16838" w:orient="portrait"/>
          <w:cols w:equalWidth="0" w:num="1">
            <w:col w:w="9019"/>
          </w:cols>
          <w:pgMar w:left="1440" w:top="1440" w:right="1440" w:bottom="1440" w:gutter="0" w:footer="0" w:header="0"/>
          <w:type w:val="continuous"/>
        </w:sectPr>
      </w:pPr>
    </w:p>
    <w:bookmarkStart w:id="134" w:name="page135"/>
    <w:bookmarkEnd w:id="134"/>
    <w:p>
      <w:pPr>
        <w:ind w:left="4220"/>
        <w:spacing w:after="0"/>
        <w:rPr>
          <w:sz w:val="20"/>
          <w:szCs w:val="20"/>
          <w:color w:val="auto"/>
        </w:rPr>
      </w:pPr>
      <w:r>
        <w:rPr>
          <w:rFonts w:ascii="Arial" w:cs="Arial" w:eastAsia="Arial" w:hAnsi="Arial"/>
          <w:sz w:val="21"/>
          <w:szCs w:val="21"/>
          <w:color w:val="auto"/>
        </w:rPr>
        <w:t>Tenant:</w:t>
      </w:r>
    </w:p>
    <w:p>
      <w:pPr>
        <w:spacing w:after="0" w:line="197" w:lineRule="exact"/>
        <w:rPr>
          <w:sz w:val="20"/>
          <w:szCs w:val="20"/>
          <w:color w:val="auto"/>
        </w:rPr>
      </w:pPr>
    </w:p>
    <w:p>
      <w:pPr>
        <w:ind w:left="4220" w:right="600"/>
        <w:spacing w:after="0" w:line="233" w:lineRule="auto"/>
        <w:rPr>
          <w:sz w:val="20"/>
          <w:szCs w:val="20"/>
          <w:color w:val="auto"/>
        </w:rPr>
      </w:pPr>
      <w:r>
        <w:rPr>
          <w:rFonts w:ascii="Arial" w:cs="Arial" w:eastAsia="Arial" w:hAnsi="Arial"/>
          <w:sz w:val="21"/>
          <w:szCs w:val="21"/>
          <w:color w:val="auto"/>
        </w:rPr>
        <w:t>PROCEPT BIOROBOTICS CORPORATION, a Delaware corporation</w:t>
      </w:r>
    </w:p>
    <w:p>
      <w:pPr>
        <w:spacing w:after="0" w:line="17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Kevin Waters</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21"/>
          <w:szCs w:val="21"/>
          <w:u w:val="single" w:color="auto"/>
          <w:color w:val="auto"/>
        </w:rPr>
        <w:t>Chief Financial Officer</w:t>
      </w:r>
    </w:p>
    <w:p>
      <w:pPr>
        <w:ind w:left="4540"/>
        <w:spacing w:after="0"/>
        <w:rPr>
          <w:sz w:val="20"/>
          <w:szCs w:val="20"/>
          <w:color w:val="auto"/>
        </w:rPr>
      </w:pPr>
      <w:r>
        <w:rPr>
          <w:rFonts w:ascii="Arial" w:cs="Arial" w:eastAsia="Arial" w:hAnsi="Arial"/>
          <w:sz w:val="21"/>
          <w:szCs w:val="21"/>
          <w:color w:val="auto"/>
        </w:rPr>
        <w:t>[Printed Name and Title]</w:t>
      </w:r>
    </w:p>
    <w:p>
      <w:pPr>
        <w:spacing w:after="0" w:line="394"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Kevin Waters</w:t>
      </w:r>
    </w:p>
    <w:p>
      <w:pPr>
        <w:ind w:left="4540"/>
        <w:spacing w:after="0"/>
        <w:rPr>
          <w:sz w:val="20"/>
          <w:szCs w:val="20"/>
          <w:color w:val="auto"/>
        </w:rPr>
      </w:pPr>
      <w:r>
        <w:rPr>
          <w:rFonts w:ascii="Arial" w:cs="Arial" w:eastAsia="Arial" w:hAnsi="Arial"/>
          <w:sz w:val="21"/>
          <w:szCs w:val="21"/>
          <w:color w:val="auto"/>
        </w:rPr>
        <w:t>[Printed Name and Title]</w:t>
      </w:r>
    </w:p>
    <w:p>
      <w:pPr>
        <w:spacing w:after="0" w:line="179" w:lineRule="exact"/>
        <w:rPr>
          <w:sz w:val="20"/>
          <w:szCs w:val="20"/>
          <w:color w:val="auto"/>
        </w:rPr>
      </w:pPr>
    </w:p>
    <w:p>
      <w:pPr>
        <w:ind w:left="4220"/>
        <w:spacing w:after="0" w:line="222" w:lineRule="auto"/>
        <w:rPr>
          <w:sz w:val="20"/>
          <w:szCs w:val="20"/>
          <w:color w:val="auto"/>
        </w:rPr>
      </w:pPr>
      <w:r>
        <w:rPr>
          <w:rFonts w:ascii="Arial" w:cs="Arial" w:eastAsia="Arial" w:hAnsi="Arial"/>
          <w:sz w:val="20"/>
          <w:szCs w:val="20"/>
          <w:color w:val="auto"/>
        </w:rPr>
        <w:t>If Tenant is a corporation, this instrument must be executed by the chairman of the board, the president or any vice president and the secretary, any assistant secretary, the chief financial officer or any assistant financial officer or any assistant treasurer of such corporation, unless the bylaws or a resolution of the board of directors shall otherwise provide, in which case the bylaws or a certified copy of the resolution, as the case may be, must be attached to this instrument.</w:t>
      </w:r>
    </w:p>
    <w:p>
      <w:pPr>
        <w:sectPr>
          <w:pgSz w:w="11900" w:h="16838" w:orient="portrait"/>
          <w:cols w:equalWidth="0" w:num="1">
            <w:col w:w="9680"/>
          </w:cols>
          <w:pgMar w:left="1440" w:top="1394" w:right="779" w:bottom="144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EXCLUDED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657860</wp:posOffset>
            </wp:positionH>
            <wp:positionV relativeFrom="paragraph">
              <wp:posOffset>141605</wp:posOffset>
            </wp:positionV>
            <wp:extent cx="4404360" cy="39376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4404360" cy="39376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6" w:name="page137"/>
    <w:bookmarkEnd w:id="136"/>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Exhibit B</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REMAINING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133985</wp:posOffset>
            </wp:positionV>
            <wp:extent cx="4977130" cy="4526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4977130" cy="452691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10.17</w:t>
      </w:r>
    </w:p>
    <w:p>
      <w:pPr>
        <w:spacing w:after="0" w:line="203" w:lineRule="exact"/>
        <w:rPr>
          <w:sz w:val="20"/>
          <w:szCs w:val="20"/>
          <w:color w:val="auto"/>
        </w:rPr>
      </w:pPr>
    </w:p>
    <w:p>
      <w:pPr>
        <w:ind w:right="240" w:firstLine="3"/>
        <w:spacing w:after="0" w:line="255" w:lineRule="auto"/>
        <w:tabs>
          <w:tab w:leader="none" w:pos="415"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Certain information in this document has been excluded pursuant to Regulation S-K, Item 601(b)(10). Such excluded information is not material and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CONFIDENTIAL EXCLUSIVE PATENT LICENSE AND COVENANT NOT TO SUE</w:t>
      </w:r>
    </w:p>
    <w:p>
      <w:pPr>
        <w:spacing w:after="0" w:line="210"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color w:val="auto"/>
        </w:rPr>
        <w:t>This Confidential Exclusive Patent License and Covenant Not to Sue (the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the date of the last signature set forth on the signature page below (the “</w:t>
      </w:r>
      <w:r>
        <w:rPr>
          <w:rFonts w:ascii="Arial" w:cs="Arial" w:eastAsia="Arial" w:hAnsi="Arial"/>
          <w:sz w:val="19"/>
          <w:szCs w:val="19"/>
          <w:b w:val="1"/>
          <w:bCs w:val="1"/>
          <w:color w:val="auto"/>
        </w:rPr>
        <w:t>Effective Date</w:t>
      </w:r>
      <w:r>
        <w:rPr>
          <w:rFonts w:ascii="Arial" w:cs="Arial" w:eastAsia="Arial" w:hAnsi="Arial"/>
          <w:sz w:val="19"/>
          <w:szCs w:val="19"/>
          <w:color w:val="auto"/>
        </w:rPr>
        <w:t>”), between HydroCision, Inc., a Delaware corporation with its principal place of business located at 267 Boston Road, Suite 28, North Billerica, MA 01862 (hereinafter “</w:t>
      </w:r>
      <w:r>
        <w:rPr>
          <w:rFonts w:ascii="Arial" w:cs="Arial" w:eastAsia="Arial" w:hAnsi="Arial"/>
          <w:sz w:val="19"/>
          <w:szCs w:val="19"/>
          <w:b w:val="1"/>
          <w:bCs w:val="1"/>
          <w:color w:val="auto"/>
        </w:rPr>
        <w:t>HydroCision</w:t>
      </w:r>
      <w:r>
        <w:rPr>
          <w:rFonts w:ascii="Arial" w:cs="Arial" w:eastAsia="Arial" w:hAnsi="Arial"/>
          <w:sz w:val="19"/>
          <w:szCs w:val="19"/>
          <w:color w:val="auto"/>
        </w:rPr>
        <w:t>”), on the one hand, and PROCEPT BioRobotics Corporation, a Delaware corporation with a principal place of business at 900 Island Drive, Suite 210 Redwood City, CA 94065 (hereinafter, “</w:t>
      </w:r>
      <w:r>
        <w:rPr>
          <w:rFonts w:ascii="Arial" w:cs="Arial" w:eastAsia="Arial" w:hAnsi="Arial"/>
          <w:sz w:val="19"/>
          <w:szCs w:val="19"/>
          <w:b w:val="1"/>
          <w:bCs w:val="1"/>
          <w:color w:val="auto"/>
        </w:rPr>
        <w:t>PROCEPT</w:t>
      </w:r>
      <w:r>
        <w:rPr>
          <w:rFonts w:ascii="Arial" w:cs="Arial" w:eastAsia="Arial" w:hAnsi="Arial"/>
          <w:sz w:val="19"/>
          <w:szCs w:val="19"/>
          <w:color w:val="auto"/>
        </w:rPr>
        <w:t>”), on the other hand. HydroCision, PROCEPT, and their respective Affiliates are referred to in this Agreement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and individually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BACKGROUND</w:t>
      </w:r>
    </w:p>
    <w:p>
      <w:pPr>
        <w:spacing w:after="0" w:line="171" w:lineRule="exact"/>
        <w:rPr>
          <w:sz w:val="20"/>
          <w:szCs w:val="20"/>
          <w:color w:val="auto"/>
        </w:rPr>
      </w:pPr>
    </w:p>
    <w:p>
      <w:pPr>
        <w:ind w:left="1020" w:hanging="398"/>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HydroCision owns or has the right to grant exclusive licenses under the Licensed Patents (as defined below);</w:t>
      </w:r>
    </w:p>
    <w:p>
      <w:pPr>
        <w:spacing w:after="0" w:line="205" w:lineRule="exact"/>
        <w:rPr>
          <w:rFonts w:ascii="Arial" w:cs="Arial" w:eastAsia="Arial" w:hAnsi="Arial"/>
          <w:sz w:val="18"/>
          <w:szCs w:val="18"/>
          <w:color w:val="auto"/>
        </w:rPr>
      </w:pPr>
    </w:p>
    <w:p>
      <w:pPr>
        <w:ind w:firstLine="622"/>
        <w:spacing w:after="0" w:line="256" w:lineRule="auto"/>
        <w:tabs>
          <w:tab w:leader="none" w:pos="1130" w:val="left"/>
        </w:tabs>
        <w:numPr>
          <w:ilvl w:val="0"/>
          <w:numId w:val="82"/>
        </w:numPr>
        <w:rPr>
          <w:rFonts w:ascii="Arial" w:cs="Arial" w:eastAsia="Arial" w:hAnsi="Arial"/>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PROCEPT desires to obtain a exclusive license and release of all claims under the Licensed Patents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development, manufacture and commercialization of Licensed Products (as defined below); and</w:t>
      </w:r>
    </w:p>
    <w:p>
      <w:pPr>
        <w:spacing w:after="0" w:line="128" w:lineRule="exact"/>
        <w:rPr>
          <w:rFonts w:ascii="Arial" w:cs="Arial" w:eastAsia="Arial" w:hAnsi="Arial"/>
          <w:sz w:val="20"/>
          <w:szCs w:val="20"/>
          <w:color w:val="auto"/>
        </w:rPr>
      </w:pPr>
    </w:p>
    <w:p>
      <w:pPr>
        <w:ind w:firstLine="622"/>
        <w:spacing w:after="0" w:line="236" w:lineRule="auto"/>
        <w:tabs>
          <w:tab w:leader="none" w:pos="1066" w:val="left"/>
        </w:tabs>
        <w:numPr>
          <w:ilvl w:val="0"/>
          <w:numId w:val="82"/>
        </w:numPr>
        <w:rPr>
          <w:rFonts w:ascii="Arial" w:cs="Arial" w:eastAsia="Arial" w:hAnsi="Arial"/>
          <w:sz w:val="21"/>
          <w:szCs w:val="21"/>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HydroCision is willing to grant such an exclusive license and release of all claims to PROCEPT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Licensed Patents.</w:t>
      </w:r>
    </w:p>
    <w:p>
      <w:pPr>
        <w:spacing w:after="0" w:line="144"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above promises and the mutual covenants of the Parties to be faithfully</w:t>
      </w:r>
      <w:r>
        <w:rPr>
          <w:rFonts w:ascii="Arial" w:cs="Arial" w:eastAsia="Arial" w:hAnsi="Arial"/>
          <w:sz w:val="21"/>
          <w:szCs w:val="21"/>
          <w:b w:val="1"/>
          <w:bCs w:val="1"/>
          <w:color w:val="auto"/>
        </w:rPr>
        <w:t xml:space="preserve"> </w:t>
      </w:r>
      <w:r>
        <w:rPr>
          <w:rFonts w:ascii="Arial" w:cs="Arial" w:eastAsia="Arial" w:hAnsi="Arial"/>
          <w:sz w:val="21"/>
          <w:szCs w:val="21"/>
          <w:color w:val="auto"/>
        </w:rPr>
        <w:t>performed, and other good and valuable consideration, the receipt of which is hereby acknowledged, HydroCision and PROCEPT, intending to be legally bound, agree as follows:</w:t>
      </w:r>
    </w:p>
    <w:p>
      <w:pPr>
        <w:spacing w:after="0" w:line="143" w:lineRule="exact"/>
        <w:rPr>
          <w:sz w:val="20"/>
          <w:szCs w:val="20"/>
          <w:color w:val="auto"/>
        </w:rPr>
      </w:pPr>
    </w:p>
    <w:p>
      <w:pPr>
        <w:ind w:left="620" w:hanging="617"/>
        <w:spacing w:after="0"/>
        <w:tabs>
          <w:tab w:leader="none" w:pos="62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177" w:lineRule="exact"/>
        <w:rPr>
          <w:rFonts w:ascii="Arial" w:cs="Arial" w:eastAsia="Arial" w:hAnsi="Arial"/>
          <w:sz w:val="21"/>
          <w:szCs w:val="21"/>
          <w:b w:val="1"/>
          <w:bCs w:val="1"/>
          <w:color w:val="auto"/>
        </w:rPr>
      </w:pPr>
    </w:p>
    <w:p>
      <w:pPr>
        <w:ind w:left="620"/>
        <w:spacing w:after="0"/>
        <w:rPr>
          <w:rFonts w:ascii="Arial" w:cs="Arial" w:eastAsia="Arial" w:hAnsi="Arial"/>
          <w:sz w:val="21"/>
          <w:szCs w:val="21"/>
          <w:b w:val="1"/>
          <w:bCs w:val="1"/>
          <w:color w:val="auto"/>
        </w:rPr>
      </w:pPr>
      <w:r>
        <w:rPr>
          <w:rFonts w:ascii="Arial" w:cs="Arial" w:eastAsia="Arial" w:hAnsi="Arial"/>
          <w:sz w:val="21"/>
          <w:szCs w:val="21"/>
          <w:color w:val="auto"/>
        </w:rPr>
        <w:t>In addition to the terms defined above and elsewhere in this Agreement, as used in this Agreement:</w:t>
      </w:r>
    </w:p>
    <w:p>
      <w:pPr>
        <w:spacing w:after="0" w:line="16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1.1 “Affiliate</w:t>
      </w:r>
      <w:r>
        <w:rPr>
          <w:rFonts w:ascii="Arial" w:cs="Arial" w:eastAsia="Arial" w:hAnsi="Arial"/>
          <w:sz w:val="21"/>
          <w:szCs w:val="21"/>
          <w:color w:val="auto"/>
        </w:rPr>
        <w:t>” or “Affiliates” of a Party shall mean any person or entity that, as of the Effective Date or during the Term,</w:t>
      </w:r>
      <w:r>
        <w:rPr>
          <w:rFonts w:ascii="Arial" w:cs="Arial" w:eastAsia="Arial" w:hAnsi="Arial"/>
          <w:sz w:val="21"/>
          <w:szCs w:val="21"/>
          <w:b w:val="1"/>
          <w:bCs w:val="1"/>
          <w:color w:val="auto"/>
        </w:rPr>
        <w:t xml:space="preserve"> </w:t>
      </w:r>
      <w:r>
        <w:rPr>
          <w:rFonts w:ascii="Arial" w:cs="Arial" w:eastAsia="Arial" w:hAnsi="Arial"/>
          <w:sz w:val="21"/>
          <w:szCs w:val="21"/>
          <w:color w:val="auto"/>
        </w:rPr>
        <w:t>directly or indirectly controls, is controlled by, or is under common control with such Party, where “control” means greater than fifty percent (50%) beneficial or equitable ownership interest.</w:t>
      </w:r>
    </w:p>
    <w:p>
      <w:pPr>
        <w:spacing w:after="0" w:line="143"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b w:val="1"/>
          <w:bCs w:val="1"/>
          <w:color w:val="auto"/>
        </w:rPr>
        <w:t xml:space="preserve">1.2 </w:t>
      </w:r>
      <w:r>
        <w:rPr>
          <w:rFonts w:ascii="Arial" w:cs="Arial" w:eastAsia="Arial" w:hAnsi="Arial"/>
          <w:sz w:val="20"/>
          <w:szCs w:val="20"/>
          <w:color w:val="auto"/>
        </w:rPr>
        <w:t>“</w:t>
      </w:r>
      <w:r>
        <w:rPr>
          <w:rFonts w:ascii="Arial" w:cs="Arial" w:eastAsia="Arial" w:hAnsi="Arial"/>
          <w:sz w:val="20"/>
          <w:szCs w:val="20"/>
          <w:b w:val="1"/>
          <w:bCs w:val="1"/>
          <w:color w:val="auto"/>
        </w:rPr>
        <w:t>Controlled</w:t>
      </w:r>
      <w:r>
        <w:rPr>
          <w:rFonts w:ascii="Arial" w:cs="Arial" w:eastAsia="Arial" w:hAnsi="Arial"/>
          <w:sz w:val="20"/>
          <w:szCs w:val="20"/>
          <w:color w:val="auto"/>
        </w:rPr>
        <w:t>” shall mean means, with respect to any know-how, patent rights or other intellectual property rights, that a</w:t>
      </w:r>
      <w:r>
        <w:rPr>
          <w:rFonts w:ascii="Arial" w:cs="Arial" w:eastAsia="Arial" w:hAnsi="Arial"/>
          <w:sz w:val="20"/>
          <w:szCs w:val="20"/>
          <w:b w:val="1"/>
          <w:bCs w:val="1"/>
          <w:color w:val="auto"/>
        </w:rPr>
        <w:t xml:space="preserve"> </w:t>
      </w:r>
      <w:r>
        <w:rPr>
          <w:rFonts w:ascii="Arial" w:cs="Arial" w:eastAsia="Arial" w:hAnsi="Arial"/>
          <w:sz w:val="20"/>
          <w:szCs w:val="20"/>
          <w:color w:val="auto"/>
        </w:rPr>
        <w:t>Party has the legal authority or right (whether by ownership, license or otherwise) to grant a license, sublicense, access or right to use (as applicable) under such know-how, patent rights, or other intellectual property rights to the other Party on the terms and conditions set forth herein at the time of such grant, in each case without (a) breaching the terms of any agreement with a Third Party, or (b) requiring any consent, approval or waiver from any Third Party.</w:t>
      </w:r>
    </w:p>
    <w:p>
      <w:pPr>
        <w:spacing w:after="0" w:line="14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 of Use</w:t>
      </w:r>
      <w:r>
        <w:rPr>
          <w:rFonts w:ascii="Arial" w:cs="Arial" w:eastAsia="Arial" w:hAnsi="Arial"/>
          <w:sz w:val="19"/>
          <w:szCs w:val="19"/>
          <w:color w:val="auto"/>
        </w:rPr>
        <w:t>” shall mean all uses in the field of urology.</w:t>
      </w:r>
    </w:p>
    <w:p>
      <w:pPr>
        <w:sectPr>
          <w:pgSz w:w="11900" w:h="16838" w:orient="portrait"/>
          <w:cols w:equalWidth="0" w:num="1">
            <w:col w:w="11240"/>
          </w:cols>
          <w:pgMar w:left="320" w:top="110" w:right="339" w:bottom="1440" w:gutter="0" w:footer="0" w:header="0"/>
        </w:sectPr>
      </w:pPr>
    </w:p>
    <w:bookmarkStart w:id="138" w:name="page139"/>
    <w:bookmarkEnd w:id="138"/>
    <w:p>
      <w:pPr>
        <w:jc w:val="both"/>
        <w:ind w:firstLine="619"/>
        <w:spacing w:after="0" w:line="282"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b w:val="1"/>
          <w:bCs w:val="1"/>
          <w:color w:val="auto"/>
        </w:rPr>
        <w:t>Fluid Jet Technology</w:t>
      </w:r>
      <w:r>
        <w:rPr>
          <w:rFonts w:ascii="Arial" w:cs="Arial" w:eastAsia="Arial" w:hAnsi="Arial"/>
          <w:sz w:val="19"/>
          <w:szCs w:val="19"/>
          <w:color w:val="auto"/>
        </w:rPr>
        <w:t>” shall mean the application, formation, control and use of high velocity jets, means of pumping</w:t>
      </w:r>
      <w:r>
        <w:rPr>
          <w:rFonts w:ascii="Arial" w:cs="Arial" w:eastAsia="Arial" w:hAnsi="Arial"/>
          <w:sz w:val="19"/>
          <w:szCs w:val="19"/>
          <w:b w:val="1"/>
          <w:bCs w:val="1"/>
          <w:color w:val="auto"/>
        </w:rPr>
        <w:t xml:space="preserve"> </w:t>
      </w:r>
      <w:r>
        <w:rPr>
          <w:rFonts w:ascii="Arial" w:cs="Arial" w:eastAsia="Arial" w:hAnsi="Arial"/>
          <w:sz w:val="19"/>
          <w:szCs w:val="19"/>
          <w:color w:val="auto"/>
        </w:rPr>
        <w:t>high pressure fluids, cartridges, hose and coupler methods, and the manufacture of any of the foregoing for medical applications.</w:t>
      </w:r>
    </w:p>
    <w:p>
      <w:pPr>
        <w:spacing w:after="0" w:line="105"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b w:val="1"/>
          <w:bCs w:val="1"/>
          <w:color w:val="auto"/>
        </w:rPr>
        <w:t xml:space="preserve">1.5 </w:t>
      </w:r>
      <w:r>
        <w:rPr>
          <w:rFonts w:ascii="Arial" w:cs="Arial" w:eastAsia="Arial" w:hAnsi="Arial"/>
          <w:sz w:val="20"/>
          <w:szCs w:val="20"/>
          <w:color w:val="auto"/>
        </w:rPr>
        <w:t>“</w:t>
      </w:r>
      <w:r>
        <w:rPr>
          <w:rFonts w:ascii="Arial" w:cs="Arial" w:eastAsia="Arial" w:hAnsi="Arial"/>
          <w:sz w:val="20"/>
          <w:szCs w:val="20"/>
          <w:b w:val="1"/>
          <w:bCs w:val="1"/>
          <w:color w:val="auto"/>
        </w:rPr>
        <w:t>HydroCision Improvements</w:t>
      </w:r>
      <w:r>
        <w:rPr>
          <w:rFonts w:ascii="Arial" w:cs="Arial" w:eastAsia="Arial" w:hAnsi="Arial"/>
          <w:sz w:val="20"/>
          <w:szCs w:val="20"/>
          <w:color w:val="auto"/>
        </w:rPr>
        <w:t>” means any Know-How, development, improvement, idea, invention or discovery</w:t>
      </w:r>
      <w:r>
        <w:rPr>
          <w:rFonts w:ascii="Arial" w:cs="Arial" w:eastAsia="Arial" w:hAnsi="Arial"/>
          <w:sz w:val="20"/>
          <w:szCs w:val="20"/>
          <w:b w:val="1"/>
          <w:bCs w:val="1"/>
          <w:color w:val="auto"/>
        </w:rPr>
        <w:t xml:space="preserve"> </w:t>
      </w:r>
      <w:r>
        <w:rPr>
          <w:rFonts w:ascii="Arial" w:cs="Arial" w:eastAsia="Arial" w:hAnsi="Arial"/>
          <w:sz w:val="20"/>
          <w:szCs w:val="20"/>
          <w:color w:val="auto"/>
        </w:rPr>
        <w:t>developed solely by or on behalf of HydroCision (or jointly by HydroCision and any Third Party (including the Existing CM)) during the Improvement Period that (a) (i) arises pursuant to activities conducted under one or more agreements or any collaboration between HydroCision and the Existing CM, or (ii) is an improvement to any invention claimed in a Licensed Patent, and (b) directly relates to the use of Fluid Jet Technology in connection with Licensed Products.</w:t>
      </w:r>
    </w:p>
    <w:p>
      <w:pPr>
        <w:spacing w:after="0" w:line="14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 xml:space="preserve">1.6 </w:t>
      </w:r>
      <w:r>
        <w:rPr>
          <w:rFonts w:ascii="Arial" w:cs="Arial" w:eastAsia="Arial" w:hAnsi="Arial"/>
          <w:sz w:val="21"/>
          <w:szCs w:val="21"/>
          <w:color w:val="auto"/>
        </w:rPr>
        <w:t>“</w:t>
      </w:r>
      <w:r>
        <w:rPr>
          <w:rFonts w:ascii="Arial" w:cs="Arial" w:eastAsia="Arial" w:hAnsi="Arial"/>
          <w:sz w:val="21"/>
          <w:szCs w:val="21"/>
          <w:b w:val="1"/>
          <w:bCs w:val="1"/>
          <w:color w:val="auto"/>
        </w:rPr>
        <w:t>HydroCision Products</w:t>
      </w:r>
      <w:r>
        <w:rPr>
          <w:rFonts w:ascii="Arial" w:cs="Arial" w:eastAsia="Arial" w:hAnsi="Arial"/>
          <w:sz w:val="21"/>
          <w:szCs w:val="21"/>
          <w:color w:val="auto"/>
        </w:rPr>
        <w:t>” shall mean past, present or future products developed and commercialized by or on behalf of</w:t>
      </w:r>
      <w:r>
        <w:rPr>
          <w:rFonts w:ascii="Arial" w:cs="Arial" w:eastAsia="Arial" w:hAnsi="Arial"/>
          <w:sz w:val="21"/>
          <w:szCs w:val="21"/>
          <w:b w:val="1"/>
          <w:bCs w:val="1"/>
          <w:color w:val="auto"/>
        </w:rPr>
        <w:t xml:space="preserve"> </w:t>
      </w:r>
      <w:r>
        <w:rPr>
          <w:rFonts w:ascii="Arial" w:cs="Arial" w:eastAsia="Arial" w:hAnsi="Arial"/>
          <w:sz w:val="21"/>
          <w:szCs w:val="21"/>
          <w:color w:val="auto"/>
        </w:rPr>
        <w:t>HydroCision or its Affiliates that utilize Fluid Jet Technology.</w:t>
      </w:r>
    </w:p>
    <w:p>
      <w:pPr>
        <w:spacing w:after="0" w:line="144" w:lineRule="exact"/>
        <w:rPr>
          <w:sz w:val="20"/>
          <w:szCs w:val="20"/>
          <w:color w:val="auto"/>
        </w:rPr>
      </w:pPr>
    </w:p>
    <w:p>
      <w:pPr>
        <w:jc w:val="both"/>
        <w:ind w:firstLine="619"/>
        <w:spacing w:after="0" w:line="209" w:lineRule="auto"/>
        <w:rPr>
          <w:sz w:val="20"/>
          <w:szCs w:val="20"/>
          <w:color w:val="auto"/>
        </w:rPr>
      </w:pPr>
      <w:r>
        <w:rPr>
          <w:rFonts w:ascii="Arial" w:cs="Arial" w:eastAsia="Arial" w:hAnsi="Arial"/>
          <w:sz w:val="21"/>
          <w:szCs w:val="21"/>
          <w:b w:val="1"/>
          <w:bCs w:val="1"/>
          <w:color w:val="auto"/>
        </w:rPr>
        <w:t xml:space="preserve">1.7 </w:t>
      </w:r>
      <w:r>
        <w:rPr>
          <w:rFonts w:ascii="Arial" w:cs="Arial" w:eastAsia="Arial" w:hAnsi="Arial"/>
          <w:sz w:val="21"/>
          <w:szCs w:val="21"/>
          <w:color w:val="auto"/>
        </w:rPr>
        <w:t>“</w:t>
      </w:r>
      <w:r>
        <w:rPr>
          <w:rFonts w:ascii="Arial" w:cs="Arial" w:eastAsia="Arial" w:hAnsi="Arial"/>
          <w:sz w:val="21"/>
          <w:szCs w:val="21"/>
          <w:b w:val="1"/>
          <w:bCs w:val="1"/>
          <w:color w:val="auto"/>
        </w:rPr>
        <w:t>Improvement Period</w:t>
      </w:r>
      <w:r>
        <w:rPr>
          <w:rFonts w:ascii="Arial" w:cs="Arial" w:eastAsia="Arial" w:hAnsi="Arial"/>
          <w:sz w:val="21"/>
          <w:szCs w:val="21"/>
          <w:color w:val="auto"/>
        </w:rPr>
        <w:t>” shall mean the period commencing on the Effective Date, and ending on the earlier of (a) the</w:t>
      </w:r>
      <w:r>
        <w:rPr>
          <w:rFonts w:ascii="Arial" w:cs="Arial" w:eastAsia="Arial" w:hAnsi="Arial"/>
          <w:sz w:val="21"/>
          <w:szCs w:val="21"/>
          <w:b w:val="1"/>
          <w:bCs w:val="1"/>
          <w:color w:val="auto"/>
        </w:rPr>
        <w:t xml:space="preserve"> </w:t>
      </w:r>
      <w:r>
        <w:rPr>
          <w:rFonts w:ascii="Arial" w:cs="Arial" w:eastAsia="Arial" w:hAnsi="Arial"/>
          <w:sz w:val="21"/>
          <w:szCs w:val="21"/>
          <w:color w:val="auto"/>
        </w:rPr>
        <w:t>date that PROCEPT ceases to use the Existing CM for manufacture and supply of Licensed Products, and (b) the third (3</w:t>
      </w:r>
      <w:r>
        <w:rPr>
          <w:rFonts w:ascii="Arial" w:cs="Arial" w:eastAsia="Arial" w:hAnsi="Arial"/>
          <w:sz w:val="26"/>
          <w:szCs w:val="26"/>
          <w:color w:val="auto"/>
          <w:vertAlign w:val="superscript"/>
        </w:rPr>
        <w:t>rd</w:t>
      </w:r>
      <w:r>
        <w:rPr>
          <w:rFonts w:ascii="Arial" w:cs="Arial" w:eastAsia="Arial" w:hAnsi="Arial"/>
          <w:sz w:val="21"/>
          <w:szCs w:val="21"/>
          <w:color w:val="auto"/>
        </w:rPr>
        <w:t>) anniversary of the Effective Date.</w:t>
      </w:r>
    </w:p>
    <w:p>
      <w:pPr>
        <w:spacing w:after="0" w:line="144" w:lineRule="exact"/>
        <w:rPr>
          <w:sz w:val="20"/>
          <w:szCs w:val="20"/>
          <w:color w:val="auto"/>
        </w:rPr>
      </w:pPr>
    </w:p>
    <w:p>
      <w:pPr>
        <w:jc w:val="both"/>
        <w:ind w:firstLine="619"/>
        <w:spacing w:after="0"/>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Know-How</w:t>
      </w:r>
      <w:r>
        <w:rPr>
          <w:rFonts w:ascii="Arial" w:cs="Arial" w:eastAsia="Arial" w:hAnsi="Arial"/>
          <w:sz w:val="19"/>
          <w:szCs w:val="19"/>
          <w:color w:val="auto"/>
        </w:rPr>
        <w:t>” shall mean all information, inventions (whether or not patentable), improvements, practices, trade secrets,</w:t>
      </w:r>
      <w:r>
        <w:rPr>
          <w:rFonts w:ascii="Arial" w:cs="Arial" w:eastAsia="Arial" w:hAnsi="Arial"/>
          <w:sz w:val="19"/>
          <w:szCs w:val="19"/>
          <w:b w:val="1"/>
          <w:bCs w:val="1"/>
          <w:color w:val="auto"/>
        </w:rPr>
        <w:t xml:space="preserve"> </w:t>
      </w:r>
      <w:r>
        <w:rPr>
          <w:rFonts w:ascii="Arial" w:cs="Arial" w:eastAsia="Arial" w:hAnsi="Arial"/>
          <w:sz w:val="19"/>
          <w:szCs w:val="19"/>
          <w:color w:val="auto"/>
        </w:rPr>
        <w:t>techniques, methods, processes, knowledge, results, test data, related reports, analytical and quality control data, protocols, models, designs, and other information regarding discovery, development, and manufacturing. Know-How shall not include any patents. For clarity, for the purposes of this Agreement, Know-How shall not include information relating to a Party’s sales activities, including without limitation information relating to marketing, pricing, distribution, costs, customer lists, or sales.</w:t>
      </w:r>
    </w:p>
    <w:p>
      <w:pPr>
        <w:spacing w:after="0" w:line="145"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b w:val="1"/>
          <w:bCs w:val="1"/>
          <w:color w:val="auto"/>
        </w:rPr>
        <w:t xml:space="preserve">1.9 </w:t>
      </w:r>
      <w:r>
        <w:rPr>
          <w:rFonts w:ascii="Arial" w:cs="Arial" w:eastAsia="Arial" w:hAnsi="Arial"/>
          <w:sz w:val="20"/>
          <w:szCs w:val="20"/>
          <w:color w:val="auto"/>
        </w:rPr>
        <w:t>“</w:t>
      </w:r>
      <w:r>
        <w:rPr>
          <w:rFonts w:ascii="Arial" w:cs="Arial" w:eastAsia="Arial" w:hAnsi="Arial"/>
          <w:sz w:val="20"/>
          <w:szCs w:val="20"/>
          <w:b w:val="1"/>
          <w:bCs w:val="1"/>
          <w:color w:val="auto"/>
        </w:rPr>
        <w:t>Licensed Know-How</w:t>
      </w:r>
      <w:r>
        <w:rPr>
          <w:rFonts w:ascii="Arial" w:cs="Arial" w:eastAsia="Arial" w:hAnsi="Arial"/>
          <w:sz w:val="20"/>
          <w:szCs w:val="20"/>
          <w:color w:val="auto"/>
        </w:rPr>
        <w:t>” shall mean all Know-How Controlled by HydroCision as of the Effective Date or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 Period that covers, or is necessary or useful for, the development, manufacture, use or sale of Licensed Products in the Field of Use, including without limitation any such Know-How in the possession of any Existing CM and used in connection with the manufacture and supply of Licensed Products to PROCEPT as of the Effective Date.</w:t>
      </w:r>
    </w:p>
    <w:p>
      <w:pPr>
        <w:spacing w:after="0" w:line="146"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b w:val="1"/>
          <w:bCs w:val="1"/>
          <w:color w:val="auto"/>
        </w:rPr>
        <w:t xml:space="preserve">1.10 </w:t>
      </w:r>
      <w:r>
        <w:rPr>
          <w:rFonts w:ascii="Arial" w:cs="Arial" w:eastAsia="Arial" w:hAnsi="Arial"/>
          <w:sz w:val="21"/>
          <w:szCs w:val="21"/>
          <w:color w:val="auto"/>
        </w:rPr>
        <w:t>“</w:t>
      </w:r>
      <w:r>
        <w:rPr>
          <w:rFonts w:ascii="Arial" w:cs="Arial" w:eastAsia="Arial" w:hAnsi="Arial"/>
          <w:sz w:val="21"/>
          <w:szCs w:val="21"/>
          <w:b w:val="1"/>
          <w:bCs w:val="1"/>
          <w:color w:val="auto"/>
        </w:rPr>
        <w:t>Licensed Patents</w:t>
      </w:r>
      <w:r>
        <w:rPr>
          <w:rFonts w:ascii="Arial" w:cs="Arial" w:eastAsia="Arial" w:hAnsi="Arial"/>
          <w:sz w:val="21"/>
          <w:szCs w:val="21"/>
          <w:color w:val="auto"/>
        </w:rPr>
        <w:t>” shall mean (a) all Patents Controlled by HydroCision as of the Effective Date that cover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Fluid Jet Technology or the development, manufacture, use or sale of Licensed Products in the Field of Use, including without limitation the patents and applications listed in </w:t>
      </w:r>
      <w:r>
        <w:rPr>
          <w:rFonts w:ascii="Arial" w:cs="Arial" w:eastAsia="Arial" w:hAnsi="Arial"/>
          <w:sz w:val="21"/>
          <w:szCs w:val="21"/>
          <w:u w:val="single" w:color="auto"/>
          <w:color w:val="auto"/>
        </w:rPr>
        <w:t>Appendix A</w:t>
      </w:r>
      <w:r>
        <w:rPr>
          <w:rFonts w:ascii="Arial" w:cs="Arial" w:eastAsia="Arial" w:hAnsi="Arial"/>
          <w:sz w:val="21"/>
          <w:szCs w:val="21"/>
          <w:color w:val="auto"/>
          <w:highlight w:val="white"/>
        </w:rPr>
        <w:t>; (b) any Patents Controlled by HydroCision during the Improvement Period</w:t>
      </w:r>
      <w:r>
        <w:rPr>
          <w:rFonts w:ascii="Arial" w:cs="Arial" w:eastAsia="Arial" w:hAnsi="Arial"/>
          <w:sz w:val="21"/>
          <w:szCs w:val="21"/>
          <w:color w:val="auto"/>
        </w:rPr>
        <w:t xml:space="preserve"> </w:t>
      </w:r>
      <w:r>
        <w:rPr>
          <w:rFonts w:ascii="Arial" w:cs="Arial" w:eastAsia="Arial" w:hAnsi="Arial"/>
          <w:sz w:val="21"/>
          <w:szCs w:val="21"/>
          <w:color w:val="auto"/>
          <w:highlight w:val="white"/>
        </w:rPr>
        <w:t>that cover or claim HydroCision Improvements and (c) any Patents Controlled by HydroCision during the Term, the claims of which would be infringed by PROCEPT’s use or practice of the Patents in (a) in accordance with the licenses granted in Section 2.1 (the Patents in subclause (c), the “</w:t>
      </w:r>
      <w:r>
        <w:rPr>
          <w:rFonts w:ascii="Arial" w:cs="Arial" w:eastAsia="Arial" w:hAnsi="Arial"/>
          <w:sz w:val="21"/>
          <w:szCs w:val="21"/>
          <w:b w:val="1"/>
          <w:bCs w:val="1"/>
          <w:color w:val="auto"/>
          <w:highlight w:val="white"/>
        </w:rPr>
        <w:t>Blocking Patents</w:t>
      </w:r>
      <w:r>
        <w:rPr>
          <w:rFonts w:ascii="Arial" w:cs="Arial" w:eastAsia="Arial" w:hAnsi="Arial"/>
          <w:sz w:val="21"/>
          <w:szCs w:val="21"/>
          <w:color w:val="auto"/>
          <w:highlight w:val="white"/>
        </w:rPr>
        <w:t>”). [***].</w:t>
      </w:r>
    </w:p>
    <w:p>
      <w:pPr>
        <w:spacing w:after="0" w:line="146" w:lineRule="exact"/>
        <w:rPr>
          <w:sz w:val="20"/>
          <w:szCs w:val="20"/>
          <w:color w:val="auto"/>
        </w:rPr>
      </w:pPr>
    </w:p>
    <w:p>
      <w:pPr>
        <w:ind w:left="620"/>
        <w:spacing w:after="0"/>
        <w:tabs>
          <w:tab w:leader="none" w:pos="1200" w:val="left"/>
        </w:tabs>
        <w:rPr>
          <w:sz w:val="20"/>
          <w:szCs w:val="20"/>
          <w:color w:val="auto"/>
        </w:rPr>
      </w:pPr>
      <w:r>
        <w:rPr>
          <w:rFonts w:ascii="Arial" w:cs="Arial" w:eastAsia="Arial" w:hAnsi="Arial"/>
          <w:sz w:val="21"/>
          <w:szCs w:val="21"/>
          <w:b w:val="1"/>
          <w:bCs w:val="1"/>
          <w:color w:val="auto"/>
        </w:rPr>
        <w:t>1.11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Licensed Technology</w:t>
      </w:r>
      <w:r>
        <w:rPr>
          <w:rFonts w:ascii="Arial" w:cs="Arial" w:eastAsia="Arial" w:hAnsi="Arial"/>
          <w:sz w:val="18"/>
          <w:szCs w:val="18"/>
          <w:color w:val="auto"/>
        </w:rPr>
        <w:t>” shall mean the Licensed Patents and the Licensed Know-How.</w:t>
      </w:r>
    </w:p>
    <w:p>
      <w:pPr>
        <w:spacing w:after="0" w:line="171"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b w:val="1"/>
          <w:bCs w:val="1"/>
          <w:color w:val="auto"/>
        </w:rPr>
        <w:t>1.12 “Licensed Product(s)</w:t>
      </w:r>
      <w:r>
        <w:rPr>
          <w:rFonts w:ascii="Arial" w:cs="Arial" w:eastAsia="Arial" w:hAnsi="Arial"/>
          <w:sz w:val="20"/>
          <w:szCs w:val="20"/>
          <w:color w:val="auto"/>
        </w:rPr>
        <w:t>” shall mean any past, present or future product in the Field of Use that has been, is or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made, had made, used, offered to sell, sold or imported by, or on behalf of PROCEPT or its Affiliates or sublicensees, wherein such product is covered or could be alleged to be covered by one or more claims of any of the Licensed Patents.</w:t>
      </w:r>
    </w:p>
    <w:p>
      <w:pPr>
        <w:sectPr>
          <w:pgSz w:w="11900" w:h="16838" w:orient="portrait"/>
          <w:cols w:equalWidth="0" w:num="1">
            <w:col w:w="11240"/>
          </w:cols>
          <w:pgMar w:left="320" w:top="1337" w:right="339" w:bottom="1440" w:gutter="0" w:footer="0" w:header="0"/>
        </w:sectPr>
      </w:pPr>
    </w:p>
    <w:bookmarkStart w:id="139" w:name="page140"/>
    <w:bookmarkEnd w:id="139"/>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1.13 </w:t>
      </w:r>
      <w:r>
        <w:rPr>
          <w:rFonts w:ascii="Arial" w:cs="Arial" w:eastAsia="Arial" w:hAnsi="Arial"/>
          <w:sz w:val="21"/>
          <w:szCs w:val="21"/>
          <w:color w:val="auto"/>
        </w:rPr>
        <w:t>“</w:t>
      </w:r>
      <w:r>
        <w:rPr>
          <w:rFonts w:ascii="Arial" w:cs="Arial" w:eastAsia="Arial" w:hAnsi="Arial"/>
          <w:sz w:val="21"/>
          <w:szCs w:val="21"/>
          <w:b w:val="1"/>
          <w:bCs w:val="1"/>
          <w:color w:val="auto"/>
        </w:rPr>
        <w:t>Patents</w:t>
      </w:r>
      <w:r>
        <w:rPr>
          <w:rFonts w:ascii="Arial" w:cs="Arial" w:eastAsia="Arial" w:hAnsi="Arial"/>
          <w:sz w:val="21"/>
          <w:szCs w:val="21"/>
          <w:color w:val="auto"/>
        </w:rPr>
        <w:t>” shall mean any and all (a) patent applications filed under applicable laws in any jurisdiction, including all</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and non-provisional applications, conversions, substitutions, continuations, continuations-in-part, divisionals, renewals, and all patents granted thereon; and (b) all patents, reissues, reexaminations and extensions or restorations, including patent term extension, supplementary protection certificates or the equivalent thereof.</w:t>
      </w:r>
    </w:p>
    <w:p>
      <w:pPr>
        <w:spacing w:after="0" w:line="146"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b w:val="1"/>
          <w:bCs w:val="1"/>
          <w:color w:val="auto"/>
        </w:rPr>
        <w:t xml:space="preserve">1.14 </w:t>
      </w:r>
      <w:r>
        <w:rPr>
          <w:rFonts w:ascii="Arial" w:cs="Arial" w:eastAsia="Arial" w:hAnsi="Arial"/>
          <w:sz w:val="21"/>
          <w:szCs w:val="21"/>
          <w:color w:val="auto"/>
        </w:rPr>
        <w:t>“</w:t>
      </w:r>
      <w:r>
        <w:rPr>
          <w:rFonts w:ascii="Arial" w:cs="Arial" w:eastAsia="Arial" w:hAnsi="Arial"/>
          <w:sz w:val="21"/>
          <w:szCs w:val="21"/>
          <w:b w:val="1"/>
          <w:bCs w:val="1"/>
          <w:color w:val="auto"/>
        </w:rPr>
        <w:t>PROCEPT Improvement Know-How</w:t>
      </w:r>
      <w:r>
        <w:rPr>
          <w:rFonts w:ascii="Arial" w:cs="Arial" w:eastAsia="Arial" w:hAnsi="Arial"/>
          <w:sz w:val="21"/>
          <w:szCs w:val="21"/>
          <w:color w:val="auto"/>
        </w:rPr>
        <w:t>” shall mean all Know-How, development, improvement, idea, invention or</w:t>
      </w:r>
      <w:r>
        <w:rPr>
          <w:rFonts w:ascii="Arial" w:cs="Arial" w:eastAsia="Arial" w:hAnsi="Arial"/>
          <w:sz w:val="21"/>
          <w:szCs w:val="21"/>
          <w:b w:val="1"/>
          <w:bCs w:val="1"/>
          <w:color w:val="auto"/>
        </w:rPr>
        <w:t xml:space="preserve"> </w:t>
      </w:r>
      <w:r>
        <w:rPr>
          <w:rFonts w:ascii="Arial" w:cs="Arial" w:eastAsia="Arial" w:hAnsi="Arial"/>
          <w:sz w:val="21"/>
          <w:szCs w:val="21"/>
          <w:color w:val="auto"/>
        </w:rPr>
        <w:t>discovery Controlled by PROCEPT that (a) is developed solely by or on behalf of PROCEPT, or jointly by or on behalf of PROCEPT and HydroCision during the Improvement Period pursuant to activities conducted under one or more agreements between either Party and the Existing CM, and (b) directly relates to the use of Fluid Jet Technology in connection with Licensed Products. PROCEPT Improvement Know-How shall be solely owned by PROCEPT. .</w:t>
      </w:r>
    </w:p>
    <w:p>
      <w:pPr>
        <w:spacing w:after="0" w:line="146"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color w:val="auto"/>
        </w:rPr>
        <w:t>“</w:t>
      </w:r>
      <w:r>
        <w:rPr>
          <w:rFonts w:ascii="Arial" w:cs="Arial" w:eastAsia="Arial" w:hAnsi="Arial"/>
          <w:sz w:val="20"/>
          <w:szCs w:val="20"/>
          <w:b w:val="1"/>
          <w:bCs w:val="1"/>
          <w:color w:val="auto"/>
        </w:rPr>
        <w:t>PROCEPT Improvement Patents</w:t>
      </w:r>
      <w:r>
        <w:rPr>
          <w:rFonts w:ascii="Arial" w:cs="Arial" w:eastAsia="Arial" w:hAnsi="Arial"/>
          <w:sz w:val="20"/>
          <w:szCs w:val="20"/>
          <w:color w:val="auto"/>
        </w:rPr>
        <w:t>” shall mean all Patents Controlled by PROCEPT that (a) claim or cover PROCEPT</w:t>
      </w:r>
      <w:r>
        <w:rPr>
          <w:rFonts w:ascii="Arial" w:cs="Arial" w:eastAsia="Arial" w:hAnsi="Arial"/>
          <w:sz w:val="20"/>
          <w:szCs w:val="20"/>
          <w:b w:val="1"/>
          <w:bCs w:val="1"/>
          <w:color w:val="auto"/>
        </w:rPr>
        <w:t xml:space="preserve"> </w:t>
      </w:r>
      <w:r>
        <w:rPr>
          <w:rFonts w:ascii="Arial" w:cs="Arial" w:eastAsia="Arial" w:hAnsi="Arial"/>
          <w:sz w:val="20"/>
          <w:szCs w:val="20"/>
          <w:color w:val="auto"/>
        </w:rPr>
        <w:t>Improvement Know-How, and (b) directly relate to the use of Fluid Jet Technology in connection with Licensed Products. PROCEPT Improvement Patents shall be solely owned by PROCEPT. For clarity, in no event will PROCEPT Improvement Patents include (i) any Patents that are conversions, divisionals, substitutions, continuations, continuations-in-part, reissues, reexaminations, extensions or restorations of any Patent Controlled by PROCEPT prior to the Effective Date, (ii) any Patent in which PROCEPT acquires rights from any Third Party following the Effective Date, or (iii) any Patent claiming an invention that arises independently outside of activities conducted by PROCEPT in collaboration with the Existing CM..</w:t>
      </w:r>
    </w:p>
    <w:p>
      <w:pPr>
        <w:spacing w:after="0" w:line="148"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Term</w:t>
      </w:r>
      <w:r>
        <w:rPr>
          <w:rFonts w:ascii="Arial" w:cs="Arial" w:eastAsia="Arial" w:hAnsi="Arial"/>
          <w:sz w:val="21"/>
          <w:szCs w:val="21"/>
          <w:color w:val="auto"/>
        </w:rPr>
        <w:t>” shall mean the time period commencing as of the Effective Date and ending upon the expiration of the last of</w:t>
      </w:r>
      <w:r>
        <w:rPr>
          <w:rFonts w:ascii="Arial" w:cs="Arial" w:eastAsia="Arial" w:hAnsi="Arial"/>
          <w:sz w:val="21"/>
          <w:szCs w:val="21"/>
          <w:b w:val="1"/>
          <w:bCs w:val="1"/>
          <w:color w:val="auto"/>
        </w:rPr>
        <w:t xml:space="preserve"> </w:t>
      </w:r>
      <w:r>
        <w:rPr>
          <w:rFonts w:ascii="Arial" w:cs="Arial" w:eastAsia="Arial" w:hAnsi="Arial"/>
          <w:sz w:val="21"/>
          <w:szCs w:val="21"/>
          <w:color w:val="auto"/>
        </w:rPr>
        <w:t>the Licensed Patents to expire.</w:t>
      </w:r>
    </w:p>
    <w:p>
      <w:pPr>
        <w:spacing w:after="0" w:line="14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shall mean any party other than HydroCision, PROCEPT or any Affiliate of either of them.</w:t>
      </w:r>
    </w:p>
    <w:p>
      <w:pPr>
        <w:spacing w:after="0" w:line="171" w:lineRule="exact"/>
        <w:rPr>
          <w:sz w:val="20"/>
          <w:szCs w:val="20"/>
          <w:color w:val="auto"/>
        </w:rPr>
      </w:pPr>
    </w:p>
    <w:p>
      <w:pPr>
        <w:ind w:left="620" w:hanging="617"/>
        <w:spacing w:after="0"/>
        <w:tabs>
          <w:tab w:leader="none" w:pos="62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color w:val="auto"/>
        </w:rPr>
        <w:t>LICENSE</w:t>
      </w:r>
    </w:p>
    <w:p>
      <w:pPr>
        <w:spacing w:after="0" w:line="171"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b w:val="1"/>
          <w:bCs w:val="1"/>
          <w:color w:val="auto"/>
        </w:rPr>
        <w:t>2.1 Grant of License</w:t>
      </w:r>
      <w:r>
        <w:rPr>
          <w:rFonts w:ascii="Arial" w:cs="Arial" w:eastAsia="Arial" w:hAnsi="Arial"/>
          <w:sz w:val="21"/>
          <w:szCs w:val="21"/>
          <w:color w:val="auto"/>
        </w:rPr>
        <w:t>. Subject to payment by PROCEPT to HydroCision of the Settlement Payment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payment schedule below, HydroCision hereby grants PROCEPT (a) an exclusive, perpetual, irrevocable, worldwide, fully paid-up license, with the right to sublicense as set forth in </w:t>
      </w:r>
      <w:r>
        <w:rPr>
          <w:rFonts w:ascii="Arial" w:cs="Arial" w:eastAsia="Arial" w:hAnsi="Arial"/>
          <w:sz w:val="21"/>
          <w:szCs w:val="21"/>
          <w:u w:val="single" w:color="auto"/>
          <w:color w:val="auto"/>
        </w:rPr>
        <w:t>Section 2.3</w:t>
      </w:r>
      <w:r>
        <w:rPr>
          <w:rFonts w:ascii="Arial" w:cs="Arial" w:eastAsia="Arial" w:hAnsi="Arial"/>
          <w:sz w:val="21"/>
          <w:szCs w:val="21"/>
          <w:color w:val="auto"/>
          <w:highlight w:val="white"/>
        </w:rPr>
        <w:t>, under the Licensed Technology (except for the Blocking Patents), and (b)</w:t>
      </w:r>
      <w:r>
        <w:rPr>
          <w:rFonts w:ascii="Arial" w:cs="Arial" w:eastAsia="Arial" w:hAnsi="Arial"/>
          <w:sz w:val="21"/>
          <w:szCs w:val="21"/>
          <w:color w:val="auto"/>
        </w:rPr>
        <w:t xml:space="preserve"> </w:t>
      </w:r>
      <w:r>
        <w:rPr>
          <w:rFonts w:ascii="Arial" w:cs="Arial" w:eastAsia="Arial" w:hAnsi="Arial"/>
          <w:sz w:val="21"/>
          <w:szCs w:val="21"/>
          <w:color w:val="auto"/>
          <w:highlight w:val="white"/>
        </w:rPr>
        <w:t xml:space="preserve">a non-exclusive, perpetual, irrevocable, worldwide, fully paid-up license, with the right to sublicense as set forth in </w:t>
      </w:r>
      <w:r>
        <w:rPr>
          <w:rFonts w:ascii="Arial" w:cs="Arial" w:eastAsia="Arial" w:hAnsi="Arial"/>
          <w:sz w:val="21"/>
          <w:szCs w:val="21"/>
          <w:u w:val="single" w:color="auto"/>
          <w:color w:val="auto"/>
          <w:highlight w:val="white"/>
        </w:rPr>
        <w:t>Section 2.3</w:t>
      </w:r>
      <w:r>
        <w:rPr>
          <w:rFonts w:ascii="Arial" w:cs="Arial" w:eastAsia="Arial" w:hAnsi="Arial"/>
          <w:sz w:val="21"/>
          <w:szCs w:val="21"/>
          <w:color w:val="auto"/>
          <w:highlight w:val="white"/>
        </w:rPr>
        <w:t xml:space="preserve"> under the Blocking Patents, to make, have made, use, sell, offer for sale, import, export and otherwise dispose of the Licensed Products in the Field of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-159385</wp:posOffset>
            </wp:positionV>
            <wp:extent cx="330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33020" cy="8255"/>
                    </a:xfrm>
                    <a:prstGeom prst="rect">
                      <a:avLst/>
                    </a:prstGeom>
                    <a:noFill/>
                  </pic:spPr>
                </pic:pic>
              </a:graphicData>
            </a:graphic>
          </wp:anchor>
        </w:drawing>
      </w:r>
    </w:p>
    <w:p>
      <w:pPr>
        <w:spacing w:after="0" w:line="126" w:lineRule="exact"/>
        <w:rPr>
          <w:sz w:val="20"/>
          <w:szCs w:val="20"/>
          <w:color w:val="auto"/>
        </w:rPr>
      </w:pPr>
    </w:p>
    <w:p>
      <w:pPr>
        <w:jc w:val="both"/>
        <w:ind w:firstLine="619"/>
        <w:spacing w:after="0" w:line="245" w:lineRule="auto"/>
        <w:rPr>
          <w:sz w:val="20"/>
          <w:szCs w:val="20"/>
          <w:color w:val="auto"/>
        </w:rPr>
      </w:pPr>
      <w:r>
        <w:rPr>
          <w:rFonts w:ascii="Arial" w:cs="Arial" w:eastAsia="Arial" w:hAnsi="Arial"/>
          <w:sz w:val="19"/>
          <w:szCs w:val="19"/>
          <w:b w:val="1"/>
          <w:bCs w:val="1"/>
          <w:color w:val="auto"/>
        </w:rPr>
        <w:t>2.2 Sublicense Rights</w:t>
      </w:r>
      <w:r>
        <w:rPr>
          <w:rFonts w:ascii="Arial" w:cs="Arial" w:eastAsia="Arial" w:hAnsi="Arial"/>
          <w:sz w:val="19"/>
          <w:szCs w:val="19"/>
          <w:color w:val="auto"/>
        </w:rPr>
        <w:t>. The rights granted to PROCEPT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2.1</w:t>
      </w:r>
      <w:r>
        <w:rPr>
          <w:rFonts w:ascii="Arial" w:cs="Arial" w:eastAsia="Arial" w:hAnsi="Arial"/>
          <w:sz w:val="19"/>
          <w:szCs w:val="19"/>
          <w:b w:val="1"/>
          <w:bCs w:val="1"/>
          <w:color w:val="auto"/>
        </w:rPr>
        <w:t xml:space="preserve"> </w:t>
      </w:r>
      <w:r>
        <w:rPr>
          <w:rFonts w:ascii="Arial" w:cs="Arial" w:eastAsia="Arial" w:hAnsi="Arial"/>
          <w:sz w:val="19"/>
          <w:szCs w:val="19"/>
          <w:color w:val="auto"/>
        </w:rPr>
        <w:t>above includes the right of PROCEPT to grant</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sublicenses under the Licensed Technology to Third Parties through multiple tiers to develop, make, have made, manufacture, use, sell, and commercialize Licensed Products. Notwithstanding the foregoing, PROCEPT may not grant a sublicense to any Third Party under the Blocking Patents independently of a license granted to such Third Party under the rest of the Licensed Patents.</w:t>
      </w:r>
    </w:p>
    <w:p>
      <w:pPr>
        <w:spacing w:after="0" w:line="139"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b w:val="1"/>
          <w:bCs w:val="1"/>
          <w:color w:val="auto"/>
        </w:rPr>
        <w:t>2.3 Patent Prosecution and Maintenance Fees</w:t>
      </w:r>
      <w:r>
        <w:rPr>
          <w:rFonts w:ascii="Arial" w:cs="Arial" w:eastAsia="Arial" w:hAnsi="Arial"/>
          <w:sz w:val="20"/>
          <w:szCs w:val="20"/>
          <w:color w:val="auto"/>
        </w:rPr>
        <w:t>. HydroCision is responsible to pay maintenance fees on the Licensed</w:t>
      </w:r>
      <w:r>
        <w:rPr>
          <w:rFonts w:ascii="Arial" w:cs="Arial" w:eastAsia="Arial" w:hAnsi="Arial"/>
          <w:sz w:val="20"/>
          <w:szCs w:val="20"/>
          <w:b w:val="1"/>
          <w:bCs w:val="1"/>
          <w:color w:val="auto"/>
        </w:rPr>
        <w:t xml:space="preserve"> </w:t>
      </w:r>
      <w:r>
        <w:rPr>
          <w:rFonts w:ascii="Arial" w:cs="Arial" w:eastAsia="Arial" w:hAnsi="Arial"/>
          <w:sz w:val="20"/>
          <w:szCs w:val="20"/>
          <w:color w:val="auto"/>
        </w:rPr>
        <w:t>Patents. HydroCision shall control the prosecution of the Licensed Patents, and will use diligent efforts during the Term to prosecute and maintain the Licensed Patents. HydroCision will keep PROCEPT reasonably informed regarding prosecution</w:t>
      </w:r>
    </w:p>
    <w:p>
      <w:pPr>
        <w:sectPr>
          <w:pgSz w:w="11900" w:h="16838" w:orient="portrait"/>
          <w:cols w:equalWidth="0" w:num="1">
            <w:col w:w="11240"/>
          </w:cols>
          <w:pgMar w:left="320" w:top="1337" w:right="339" w:bottom="1440" w:gutter="0" w:footer="0" w:header="0"/>
        </w:sectPr>
      </w:pPr>
    </w:p>
    <w:bookmarkStart w:id="140" w:name="page141"/>
    <w:bookmarkEnd w:id="140"/>
    <w:p>
      <w:pPr>
        <w:jc w:val="both"/>
        <w:spacing w:after="0" w:line="230" w:lineRule="auto"/>
        <w:rPr>
          <w:sz w:val="20"/>
          <w:szCs w:val="20"/>
          <w:color w:val="auto"/>
        </w:rPr>
      </w:pPr>
      <w:r>
        <w:rPr>
          <w:rFonts w:ascii="Arial" w:cs="Arial" w:eastAsia="Arial" w:hAnsi="Arial"/>
          <w:sz w:val="19"/>
          <w:szCs w:val="19"/>
          <w:color w:val="auto"/>
        </w:rPr>
        <w:t>and maintenance of the Licensed Patents, and shall provide PROCEPT with a copy of third party submissions or challenges and any final rejection or allowance of claims that are generally or specifically relevant to the practice of the Licensed Patents in the Field of Use, reasonably in advance of any appeal or filing deadline in order that PROCEPT has the opportunity to comment on such prosecution activities, including whether to continue prosecution by way of a request for continued prosecution or a continuation, continuation-in-part or divisional application. HydroCision shall consider in good faith all of PROCEPT’s reasonable comments in connection with such prosecution, and shall incorporate any reasonable comments that relate to the practice of the Licensed Patents in the Field of Use. In the event that Hydrocision decides to abandon prosecution of, or let any Licensed Patent lapse, it will notify PROCEPT at least thirty (30) calendar days before the applicable filing deadline or maintenance fee is due and give PROCEPT the option of paying such maintenance fee or assuming responsibility for the control of prosecution of such Licensed Patent(s). HydroCision hereby acknowledges and agrees that United States patent application number [***], published as [***] titled [***] is a “Licensed Patent” under the terms of the [***] Agreement (as such term is defined therein), and as such, should be recorded at the USPTO with HydroCision as the applicant. Promptly following the Effective Date, HydroCision shall notify [***] of the foregoing issue, and shall use its best efforts to cause [***] to correct the identity of the applicant on the [***] to record HydroCision as the applicant thereon. PROCEPT shall provide reasonable assistance, if requested by HydroCision, in connection with such correction. HydroCision shall notify PROCEPT promptly following confirmation of such correction.</w:t>
      </w:r>
    </w:p>
    <w:p>
      <w:pPr>
        <w:spacing w:after="0" w:line="154" w:lineRule="exact"/>
        <w:rPr>
          <w:sz w:val="20"/>
          <w:szCs w:val="20"/>
          <w:color w:val="auto"/>
        </w:rPr>
      </w:pPr>
    </w:p>
    <w:p>
      <w:pPr>
        <w:jc w:val="both"/>
        <w:ind w:firstLine="619"/>
        <w:spacing w:after="0" w:line="212" w:lineRule="auto"/>
        <w:rPr>
          <w:sz w:val="20"/>
          <w:szCs w:val="20"/>
          <w:color w:val="auto"/>
        </w:rPr>
      </w:pPr>
      <w:r>
        <w:rPr>
          <w:rFonts w:ascii="Arial" w:cs="Arial" w:eastAsia="Arial" w:hAnsi="Arial"/>
          <w:sz w:val="21"/>
          <w:szCs w:val="21"/>
          <w:b w:val="1"/>
          <w:bCs w:val="1"/>
          <w:color w:val="auto"/>
        </w:rPr>
        <w:t>2.4 Right to Sue</w:t>
      </w:r>
      <w:r>
        <w:rPr>
          <w:rFonts w:ascii="Arial" w:cs="Arial" w:eastAsia="Arial" w:hAnsi="Arial"/>
          <w:sz w:val="21"/>
          <w:szCs w:val="21"/>
          <w:color w:val="auto"/>
        </w:rPr>
        <w:t>. HydroCision will inform PROCEPT promptly of (a) any interference, opposition or inter-partes review or</w:t>
      </w:r>
      <w:r>
        <w:rPr>
          <w:rFonts w:ascii="Arial" w:cs="Arial" w:eastAsia="Arial" w:hAnsi="Arial"/>
          <w:sz w:val="21"/>
          <w:szCs w:val="21"/>
          <w:b w:val="1"/>
          <w:bCs w:val="1"/>
          <w:color w:val="auto"/>
        </w:rPr>
        <w:t xml:space="preserve"> </w:t>
      </w:r>
      <w:r>
        <w:rPr>
          <w:rFonts w:ascii="Arial" w:cs="Arial" w:eastAsia="Arial" w:hAnsi="Arial"/>
          <w:sz w:val="21"/>
          <w:szCs w:val="21"/>
          <w:color w:val="auto"/>
        </w:rPr>
        <w:t>similar challenge to validity, scope or enforceability of any Licensed Patent, and (b) any actual or suspected infringement or misappropriation of the Licensed Technology by the manufacture, use, import, offer for sale or sale by a Third Party of any product that is competitive with one or more Licensed Products or in the Field of Use. PROCEPT will have the first right but not the obligation to enforce the Licensed Patents, [***] Patents, at its own expense and for its own benefit inside the Field of Use. HydroCision will have the sole right to enforce the Licensed Patents at its own expense and for its own benefit outside the Field of Use. If either Party commences or action and a court dismisses the action for lack of standing or requires the other Party to join, such party will voluntarily do so. If PROCEPT desires to enforce the [***] Patents, HydroCision will cooperate in good faith with PROCEPT to secure such rights [***].</w:t>
      </w:r>
    </w:p>
    <w:p>
      <w:pPr>
        <w:spacing w:after="0" w:line="143" w:lineRule="exact"/>
        <w:rPr>
          <w:sz w:val="20"/>
          <w:szCs w:val="20"/>
          <w:color w:val="auto"/>
        </w:rPr>
      </w:pPr>
    </w:p>
    <w:p>
      <w:pPr>
        <w:ind w:left="620" w:hanging="617"/>
        <w:spacing w:after="0"/>
        <w:tabs>
          <w:tab w:leader="none" w:pos="62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color w:val="auto"/>
        </w:rPr>
        <w:t>MANUFACTURING</w:t>
      </w:r>
    </w:p>
    <w:p>
      <w:pPr>
        <w:spacing w:after="0" w:line="171"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b w:val="1"/>
          <w:bCs w:val="1"/>
          <w:color w:val="auto"/>
        </w:rPr>
        <w:t xml:space="preserve">3.1 Cooperation on Contract Manufacturing. </w:t>
      </w:r>
      <w:r>
        <w:rPr>
          <w:rFonts w:ascii="Arial" w:cs="Arial" w:eastAsia="Arial" w:hAnsi="Arial"/>
          <w:sz w:val="19"/>
          <w:szCs w:val="19"/>
          <w:color w:val="auto"/>
        </w:rPr>
        <w:t>HydroCision acknowledges and agrees that PROCEPT is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rights and licenses granted under this Agreement, to have Licensed Products manufactured and supplied by Third Parties directly to PROCEPT or its Affiliates. HydroCision further acknowledges and agrees that following the Effective Date, the Parties shall permit each other to have Licensed Products (and products of HydroCision that incorporate Fluid Jet Technology) manufactured and supplied by HydroCision’s existing contract manufacturer(s) (the “</w:t>
      </w:r>
      <w:r>
        <w:rPr>
          <w:rFonts w:ascii="Arial" w:cs="Arial" w:eastAsia="Arial" w:hAnsi="Arial"/>
          <w:sz w:val="19"/>
          <w:szCs w:val="19"/>
          <w:b w:val="1"/>
          <w:bCs w:val="1"/>
          <w:color w:val="auto"/>
        </w:rPr>
        <w:t>Existing CMs</w:t>
      </w:r>
      <w:r>
        <w:rPr>
          <w:rFonts w:ascii="Arial" w:cs="Arial" w:eastAsia="Arial" w:hAnsi="Arial"/>
          <w:sz w:val="19"/>
          <w:szCs w:val="19"/>
          <w:color w:val="auto"/>
        </w:rPr>
        <w:t>”) or future contract manufacturers (the “</w:t>
      </w:r>
      <w:r>
        <w:rPr>
          <w:rFonts w:ascii="Arial" w:cs="Arial" w:eastAsia="Arial" w:hAnsi="Arial"/>
          <w:sz w:val="19"/>
          <w:szCs w:val="19"/>
          <w:b w:val="1"/>
          <w:bCs w:val="1"/>
          <w:color w:val="auto"/>
        </w:rPr>
        <w:t>Future CMs</w:t>
      </w:r>
      <w:r>
        <w:rPr>
          <w:rFonts w:ascii="Arial" w:cs="Arial" w:eastAsia="Arial" w:hAnsi="Arial"/>
          <w:sz w:val="19"/>
          <w:szCs w:val="19"/>
          <w:color w:val="auto"/>
        </w:rPr>
        <w:t xml:space="preserve">”), subject to the remainder of this </w:t>
      </w:r>
      <w:r>
        <w:rPr>
          <w:rFonts w:ascii="Arial" w:cs="Arial" w:eastAsia="Arial" w:hAnsi="Arial"/>
          <w:sz w:val="19"/>
          <w:szCs w:val="19"/>
          <w:u w:val="single" w:color="auto"/>
          <w:color w:val="auto"/>
        </w:rPr>
        <w:t>Section 3.1</w:t>
      </w:r>
      <w:r>
        <w:rPr>
          <w:rFonts w:ascii="Arial" w:cs="Arial" w:eastAsia="Arial" w:hAnsi="Arial"/>
          <w:sz w:val="19"/>
          <w:szCs w:val="19"/>
          <w:color w:val="auto"/>
        </w:rPr>
        <w:t>. Accordingly the Parties agree the following:</w:t>
      </w:r>
    </w:p>
    <w:p>
      <w:pPr>
        <w:spacing w:after="0" w:line="150" w:lineRule="exact"/>
        <w:rPr>
          <w:sz w:val="20"/>
          <w:szCs w:val="20"/>
          <w:color w:val="auto"/>
        </w:rPr>
      </w:pPr>
    </w:p>
    <w:p>
      <w:pPr>
        <w:jc w:val="both"/>
        <w:ind w:firstLine="1241"/>
        <w:spacing w:after="0" w:line="216" w:lineRule="auto"/>
        <w:tabs>
          <w:tab w:leader="none" w:pos="1852" w:val="left"/>
        </w:tabs>
        <w:numPr>
          <w:ilvl w:val="0"/>
          <w:numId w:val="86"/>
        </w:numPr>
        <w:rPr>
          <w:rFonts w:ascii="Arial" w:cs="Arial" w:eastAsia="Arial" w:hAnsi="Arial"/>
          <w:sz w:val="21"/>
          <w:szCs w:val="21"/>
          <w:b w:val="1"/>
          <w:bCs w:val="1"/>
          <w:color w:val="auto"/>
        </w:rPr>
      </w:pPr>
      <w:r>
        <w:rPr>
          <w:rFonts w:ascii="Arial" w:cs="Arial" w:eastAsia="Arial" w:hAnsi="Arial"/>
          <w:sz w:val="21"/>
          <w:szCs w:val="21"/>
          <w:color w:val="auto"/>
        </w:rPr>
        <w:t>HydroCision and PROCEPT agree that they will use commercially reasonable efforts to ensure that the cooperation with Existing CMs set forth in this Article 3 shall not adversely impact with either Party’s supply needs and shall cooperate to enable both Parties to benefit from any savings in cost associated with volume quantities of shared components while PROCEPT is using the Existing CM for its Licensed Products. In light of the foregoing, the Parties acknowledge and agree that in order for PROCEPT to transition to an</w:t>
      </w:r>
    </w:p>
    <w:p>
      <w:pPr>
        <w:sectPr>
          <w:pgSz w:w="11900" w:h="16838" w:orient="portrait"/>
          <w:cols w:equalWidth="0" w:num="1">
            <w:col w:w="11240"/>
          </w:cols>
          <w:pgMar w:left="320" w:top="1343" w:right="339" w:bottom="1440" w:gutter="0" w:footer="0" w:header="0"/>
        </w:sectPr>
      </w:pPr>
    </w:p>
    <w:bookmarkStart w:id="141" w:name="page142"/>
    <w:bookmarkEnd w:id="141"/>
    <w:p>
      <w:pPr>
        <w:jc w:val="both"/>
        <w:spacing w:after="0" w:line="248" w:lineRule="auto"/>
        <w:rPr>
          <w:sz w:val="20"/>
          <w:szCs w:val="20"/>
          <w:color w:val="auto"/>
        </w:rPr>
      </w:pPr>
      <w:r>
        <w:rPr>
          <w:rFonts w:ascii="Arial" w:cs="Arial" w:eastAsia="Arial" w:hAnsi="Arial"/>
          <w:sz w:val="18"/>
          <w:szCs w:val="18"/>
          <w:color w:val="auto"/>
        </w:rPr>
        <w:t>independent supply relationship for Licensed Products with the Existing CM or a Future CM, it will be necessary for PROCEPT to develop its own product specifications, quality control, clean room, equipment, assemblers and assembly procedures for use in connection with such manufacturing activities (the “</w:t>
      </w:r>
      <w:r>
        <w:rPr>
          <w:rFonts w:ascii="Arial" w:cs="Arial" w:eastAsia="Arial" w:hAnsi="Arial"/>
          <w:sz w:val="18"/>
          <w:szCs w:val="18"/>
          <w:b w:val="1"/>
          <w:bCs w:val="1"/>
          <w:color w:val="auto"/>
        </w:rPr>
        <w:t>Key Manufacturing Elements</w:t>
      </w:r>
      <w:r>
        <w:rPr>
          <w:rFonts w:ascii="Arial" w:cs="Arial" w:eastAsia="Arial" w:hAnsi="Arial"/>
          <w:sz w:val="18"/>
          <w:szCs w:val="18"/>
          <w:color w:val="auto"/>
        </w:rPr>
        <w:t>”). Following the Effective Date, and until PROCEPT has established independent Key Manufacturing Elements, the Parties agree that they will use best efforts to cooperate with each other and the Existing CM in connection with any shared Key Manufacturing Elements, in order to optimize the use of such Key Manufacturing Elements and to seek to ensure that each Party’s supply needs are able to be met during such period. Once PROCEPT has established independent Key Manufacturing Elements, the Parties will cooperate in good faith to wind down PROCEPT’s use of any shared components, and to use reasonable efforts to minimize any costs associated with any such wind down.</w:t>
      </w:r>
    </w:p>
    <w:p>
      <w:pPr>
        <w:spacing w:after="0" w:line="145" w:lineRule="exact"/>
        <w:rPr>
          <w:sz w:val="20"/>
          <w:szCs w:val="20"/>
          <w:color w:val="auto"/>
        </w:rPr>
      </w:pPr>
    </w:p>
    <w:p>
      <w:pPr>
        <w:jc w:val="both"/>
        <w:ind w:firstLine="1241"/>
        <w:spacing w:after="0" w:line="225" w:lineRule="auto"/>
        <w:tabs>
          <w:tab w:leader="none" w:pos="1851"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Until PROCEPT’s entry into its own agreement with the Existing CM or Future CMs, HydroCision shall continue to supply Licensed Products to PROCEPT on a purchase order basis on the same terms as existing between the Parties as of the Effective Date, provided that for Purchase Orders placed but unfilled as of the Effective Date, or placed following the Effective Date, the price charged to PROCEPT will be the same as the price invoiced by the Existing CM to HydroCision, without any additional mark-up or charges. Except for such price reduction, all other terms, including without limitation ordering logistics, quantities, acceptance and rejection, and discounting, as applicable, will remain unamended.</w:t>
      </w:r>
    </w:p>
    <w:p>
      <w:pPr>
        <w:spacing w:after="0" w:line="150" w:lineRule="exact"/>
        <w:rPr>
          <w:rFonts w:ascii="Arial" w:cs="Arial" w:eastAsia="Arial" w:hAnsi="Arial"/>
          <w:sz w:val="20"/>
          <w:szCs w:val="20"/>
          <w:b w:val="1"/>
          <w:bCs w:val="1"/>
          <w:color w:val="auto"/>
        </w:rPr>
      </w:pPr>
    </w:p>
    <w:p>
      <w:pPr>
        <w:jc w:val="both"/>
        <w:ind w:firstLine="1241"/>
        <w:spacing w:after="0" w:line="230" w:lineRule="auto"/>
        <w:tabs>
          <w:tab w:leader="none" w:pos="1853" w:val="left"/>
        </w:tabs>
        <w:numPr>
          <w:ilvl w:val="0"/>
          <w:numId w:val="87"/>
        </w:numPr>
        <w:rPr>
          <w:rFonts w:ascii="Arial" w:cs="Arial" w:eastAsia="Arial" w:hAnsi="Arial"/>
          <w:sz w:val="20"/>
          <w:szCs w:val="20"/>
          <w:b w:val="1"/>
          <w:bCs w:val="1"/>
          <w:color w:val="auto"/>
        </w:rPr>
      </w:pPr>
      <w:r>
        <w:rPr>
          <w:rFonts w:ascii="Arial" w:cs="Arial" w:eastAsia="Arial" w:hAnsi="Arial"/>
          <w:sz w:val="20"/>
          <w:szCs w:val="20"/>
          <w:color w:val="auto"/>
        </w:rPr>
        <w:t>HydroCision shall waive, and hereby does waive, with respect to PROCEPT and its Affiliates and sublicensees, effective as of the Effective Date, any exclusivity provisions in its agreements with any Existing CM, including any provision that restricts the ability of such Existing CM to manufacture and supply Licensed Products to PROCEPT, its Affiliates and sublicensees, or places limits on the quantity of Licensed Products that may be supplied by such Existing CM;</w:t>
      </w:r>
    </w:p>
    <w:p>
      <w:pPr>
        <w:spacing w:after="0" w:line="149" w:lineRule="exact"/>
        <w:rPr>
          <w:rFonts w:ascii="Arial" w:cs="Arial" w:eastAsia="Arial" w:hAnsi="Arial"/>
          <w:sz w:val="20"/>
          <w:szCs w:val="20"/>
          <w:b w:val="1"/>
          <w:bCs w:val="1"/>
          <w:color w:val="auto"/>
        </w:rPr>
      </w:pPr>
    </w:p>
    <w:p>
      <w:pPr>
        <w:jc w:val="both"/>
        <w:ind w:firstLine="1241"/>
        <w:spacing w:after="0" w:line="232" w:lineRule="auto"/>
        <w:tabs>
          <w:tab w:leader="none" w:pos="1851" w:val="left"/>
        </w:tabs>
        <w:numPr>
          <w:ilvl w:val="0"/>
          <w:numId w:val="87"/>
        </w:numPr>
        <w:rPr>
          <w:rFonts w:ascii="Arial" w:cs="Arial" w:eastAsia="Arial" w:hAnsi="Arial"/>
          <w:sz w:val="19"/>
          <w:szCs w:val="19"/>
          <w:b w:val="1"/>
          <w:bCs w:val="1"/>
          <w:color w:val="auto"/>
        </w:rPr>
      </w:pPr>
      <w:r>
        <w:rPr>
          <w:rFonts w:ascii="Arial" w:cs="Arial" w:eastAsia="Arial" w:hAnsi="Arial"/>
          <w:sz w:val="19"/>
          <w:szCs w:val="19"/>
          <w:color w:val="auto"/>
        </w:rPr>
        <w:t>HydroCision shall provide all assistance reasonably requested by PROCEPT, in order to enable PROCEPT to negotiate at its discretion with such Existing CMs, and enter into its own agreement with the Existing CM. During the Improvement Period, PROCEPT agrees that to the extent that (i) the Licensed Products are being manufactured for PROCEPT under any new agreement with the Existing CMs, and (ii) such Licensed Products are substantially the same as the products being manufactured for PROCEPT as of the Effective Date with respect to the design and operation of the pump cartridge and/or the transmission (i.e., the Licensed Products manufactured for PROCEPT are substantially the same with regard to the design and operation of the pump cartridge and transmission as those being manufactured for HydroCision), PROCEPT will use reasonable efforts to collaborate with HydroCision and the Existing CM to enable HydroCision to benefit from any cost savings associated with respect to the implementation of PROCEPT Improvement Know-How, quantity discounting, volume purchases of similar components and any other factors that might result in cost reductions for PROCEPT on such Licensed Products.</w:t>
      </w:r>
    </w:p>
    <w:p>
      <w:pPr>
        <w:spacing w:after="0" w:line="156" w:lineRule="exact"/>
        <w:rPr>
          <w:rFonts w:ascii="Arial" w:cs="Arial" w:eastAsia="Arial" w:hAnsi="Arial"/>
          <w:sz w:val="19"/>
          <w:szCs w:val="19"/>
          <w:b w:val="1"/>
          <w:bCs w:val="1"/>
          <w:color w:val="auto"/>
        </w:rPr>
      </w:pPr>
    </w:p>
    <w:p>
      <w:pPr>
        <w:ind w:firstLine="1241"/>
        <w:spacing w:after="0" w:line="233" w:lineRule="auto"/>
        <w:tabs>
          <w:tab w:leader="none" w:pos="1853" w:val="left"/>
        </w:tabs>
        <w:numPr>
          <w:ilvl w:val="0"/>
          <w:numId w:val="87"/>
        </w:numPr>
        <w:rPr>
          <w:rFonts w:ascii="Arial" w:cs="Arial" w:eastAsia="Arial" w:hAnsi="Arial"/>
          <w:sz w:val="21"/>
          <w:szCs w:val="21"/>
          <w:b w:val="1"/>
          <w:bCs w:val="1"/>
          <w:color w:val="auto"/>
        </w:rPr>
      </w:pPr>
      <w:r>
        <w:rPr>
          <w:rFonts w:ascii="Arial" w:cs="Arial" w:eastAsia="Arial" w:hAnsi="Arial"/>
          <w:sz w:val="21"/>
          <w:szCs w:val="21"/>
          <w:color w:val="auto"/>
        </w:rPr>
        <w:t>PROCEPT shall grant and hereby grants to HydroCision a non-exclusive, royalty-free, non-transferable, perpetual, irrevocable license, without the right to grant sublicenses, under:</w:t>
      </w:r>
    </w:p>
    <w:p>
      <w:pPr>
        <w:spacing w:after="0" w:line="149" w:lineRule="exact"/>
        <w:rPr>
          <w:rFonts w:ascii="Arial" w:cs="Arial" w:eastAsia="Arial" w:hAnsi="Arial"/>
          <w:sz w:val="21"/>
          <w:szCs w:val="21"/>
          <w:b w:val="1"/>
          <w:bCs w:val="1"/>
          <w:color w:val="auto"/>
        </w:rPr>
      </w:pPr>
    </w:p>
    <w:p>
      <w:pPr>
        <w:ind w:firstLine="1860"/>
        <w:spacing w:after="0" w:line="233" w:lineRule="auto"/>
        <w:tabs>
          <w:tab w:leader="none" w:pos="2463" w:val="left"/>
        </w:tabs>
        <w:numPr>
          <w:ilvl w:val="1"/>
          <w:numId w:val="87"/>
        </w:numPr>
        <w:rPr>
          <w:rFonts w:ascii="Arial" w:cs="Arial" w:eastAsia="Arial" w:hAnsi="Arial"/>
          <w:sz w:val="21"/>
          <w:szCs w:val="21"/>
          <w:b w:val="1"/>
          <w:bCs w:val="1"/>
          <w:color w:val="auto"/>
        </w:rPr>
      </w:pPr>
      <w:r>
        <w:rPr>
          <w:rFonts w:ascii="Arial" w:cs="Arial" w:eastAsia="Arial" w:hAnsi="Arial"/>
          <w:sz w:val="21"/>
          <w:szCs w:val="21"/>
          <w:color w:val="auto"/>
        </w:rPr>
        <w:t>the PROCEPT Improvement Know-How, to manufacture, have manufactured, use, sell, offer for sale and import HydroCision Products in all fields of use outside urology; and</w:t>
      </w:r>
    </w:p>
    <w:p>
      <w:pPr>
        <w:sectPr>
          <w:pgSz w:w="11900" w:h="16838" w:orient="portrait"/>
          <w:cols w:equalWidth="0" w:num="1">
            <w:col w:w="11240"/>
          </w:cols>
          <w:pgMar w:left="320" w:top="1343" w:right="339" w:bottom="1440" w:gutter="0" w:footer="0" w:header="0"/>
        </w:sectPr>
      </w:pPr>
    </w:p>
    <w:bookmarkStart w:id="142" w:name="page143"/>
    <w:bookmarkEnd w:id="142"/>
    <w:p>
      <w:pPr>
        <w:jc w:val="both"/>
        <w:ind w:firstLine="1860"/>
        <w:spacing w:after="0" w:line="251" w:lineRule="auto"/>
        <w:tabs>
          <w:tab w:leader="none" w:pos="2469" w:val="left"/>
        </w:tabs>
        <w:numPr>
          <w:ilvl w:val="2"/>
          <w:numId w:val="88"/>
        </w:numPr>
        <w:rPr>
          <w:rFonts w:ascii="Arial" w:cs="Arial" w:eastAsia="Arial" w:hAnsi="Arial"/>
          <w:sz w:val="19"/>
          <w:szCs w:val="19"/>
          <w:b w:val="1"/>
          <w:bCs w:val="1"/>
          <w:color w:val="auto"/>
        </w:rPr>
      </w:pPr>
      <w:r>
        <w:rPr>
          <w:rFonts w:ascii="Arial" w:cs="Arial" w:eastAsia="Arial" w:hAnsi="Arial"/>
          <w:sz w:val="19"/>
          <w:szCs w:val="19"/>
          <w:color w:val="auto"/>
        </w:rPr>
        <w:t>any PROCEPT Improvement Patents that would be infringed, absent a license from PROCEPT, by the use of Fluid Jet Technology in connection with the development, manufacture or commercialization of any HydroCision Product, to manufacture, have manufactured, use, sell, off.er for sale and import HydroCision Products for use in connection with [***], and [***].</w:t>
      </w:r>
    </w:p>
    <w:p>
      <w:pPr>
        <w:spacing w:after="0" w:line="139" w:lineRule="exact"/>
        <w:rPr>
          <w:rFonts w:ascii="Arial" w:cs="Arial" w:eastAsia="Arial" w:hAnsi="Arial"/>
          <w:sz w:val="19"/>
          <w:szCs w:val="19"/>
          <w:b w:val="1"/>
          <w:bCs w:val="1"/>
          <w:color w:val="auto"/>
        </w:rPr>
      </w:pPr>
    </w:p>
    <w:p>
      <w:pPr>
        <w:jc w:val="both"/>
        <w:ind w:firstLine="1241"/>
        <w:spacing w:after="0" w:line="213" w:lineRule="auto"/>
        <w:tabs>
          <w:tab w:leader="none" w:pos="1856" w:val="left"/>
        </w:tabs>
        <w:numPr>
          <w:ilvl w:val="1"/>
          <w:numId w:val="89"/>
        </w:numPr>
        <w:rPr>
          <w:rFonts w:ascii="Arial" w:cs="Arial" w:eastAsia="Arial" w:hAnsi="Arial"/>
          <w:sz w:val="21"/>
          <w:szCs w:val="21"/>
          <w:b w:val="1"/>
          <w:bCs w:val="1"/>
          <w:color w:val="auto"/>
        </w:rPr>
      </w:pPr>
      <w:r>
        <w:rPr>
          <w:rFonts w:ascii="Arial" w:cs="Arial" w:eastAsia="Arial" w:hAnsi="Arial"/>
          <w:sz w:val="21"/>
          <w:szCs w:val="21"/>
          <w:color w:val="auto"/>
        </w:rPr>
        <w:t>Upon PROCEPT’s request, HydroCision shall perform (or shall cause the Existing CMs to perform) a technology transfer of all Licensed Know-How then in existence (including all tangible embodiments thereof) to PROCEPT or a designated Future CM (the “</w:t>
      </w:r>
      <w:r>
        <w:rPr>
          <w:rFonts w:ascii="Arial" w:cs="Arial" w:eastAsia="Arial" w:hAnsi="Arial"/>
          <w:sz w:val="21"/>
          <w:szCs w:val="21"/>
          <w:b w:val="1"/>
          <w:bCs w:val="1"/>
          <w:color w:val="auto"/>
        </w:rPr>
        <w:t>Technology Transfer</w:t>
      </w:r>
      <w:r>
        <w:rPr>
          <w:rFonts w:ascii="Arial" w:cs="Arial" w:eastAsia="Arial" w:hAnsi="Arial"/>
          <w:sz w:val="21"/>
          <w:szCs w:val="21"/>
          <w:color w:val="auto"/>
        </w:rPr>
        <w:t>”). Promptly following such request, the Parties shall discuss and agree upon a plan for such Technology Transfer, including the timing thereof. HydroCision shall provide reasonable technical assistance to PROCEPT or such Third Party in connection with the Technology Transfer, and shall make personnel available for a reasonable period following such Technology Transfer to respond to questions from PROCEPT or such Third Party in connection with the use and practice of the Licensed Know-How.</w:t>
      </w:r>
    </w:p>
    <w:p>
      <w:pPr>
        <w:spacing w:after="0" w:line="143" w:lineRule="exact"/>
        <w:rPr>
          <w:rFonts w:ascii="Arial" w:cs="Arial" w:eastAsia="Arial" w:hAnsi="Arial"/>
          <w:sz w:val="21"/>
          <w:szCs w:val="21"/>
          <w:b w:val="1"/>
          <w:bCs w:val="1"/>
          <w:color w:val="auto"/>
        </w:rPr>
      </w:pPr>
    </w:p>
    <w:p>
      <w:pPr>
        <w:ind w:left="620" w:hanging="617"/>
        <w:spacing w:after="0"/>
        <w:tabs>
          <w:tab w:leader="none" w:pos="620" w:val="left"/>
        </w:tabs>
        <w:numPr>
          <w:ilvl w:val="0"/>
          <w:numId w:val="90"/>
        </w:numPr>
        <w:rPr>
          <w:rFonts w:ascii="Arial" w:cs="Arial" w:eastAsia="Arial" w:hAnsi="Arial"/>
          <w:sz w:val="21"/>
          <w:szCs w:val="21"/>
          <w:b w:val="1"/>
          <w:bCs w:val="1"/>
          <w:color w:val="auto"/>
        </w:rPr>
      </w:pPr>
      <w:r>
        <w:rPr>
          <w:rFonts w:ascii="Arial" w:cs="Arial" w:eastAsia="Arial" w:hAnsi="Arial"/>
          <w:sz w:val="21"/>
          <w:szCs w:val="21"/>
          <w:b w:val="1"/>
          <w:bCs w:val="1"/>
          <w:color w:val="auto"/>
        </w:rPr>
        <w:t>MUTUAL RELEASES AND DISMISSAL OF LITIGATION</w:t>
      </w:r>
    </w:p>
    <w:p>
      <w:pPr>
        <w:spacing w:after="0" w:line="171" w:lineRule="exact"/>
        <w:rPr>
          <w:rFonts w:ascii="Arial" w:cs="Arial" w:eastAsia="Arial" w:hAnsi="Arial"/>
          <w:sz w:val="21"/>
          <w:szCs w:val="21"/>
          <w:b w:val="1"/>
          <w:bCs w:val="1"/>
          <w:color w:val="auto"/>
        </w:rPr>
      </w:pPr>
    </w:p>
    <w:p>
      <w:pPr>
        <w:ind w:left="620"/>
        <w:spacing w:after="0"/>
        <w:rPr>
          <w:rFonts w:ascii="Arial" w:cs="Arial" w:eastAsia="Arial" w:hAnsi="Arial"/>
          <w:sz w:val="21"/>
          <w:szCs w:val="21"/>
          <w:b w:val="1"/>
          <w:bCs w:val="1"/>
          <w:color w:val="auto"/>
        </w:rPr>
      </w:pPr>
      <w:r>
        <w:rPr>
          <w:rFonts w:ascii="Arial" w:cs="Arial" w:eastAsia="Arial" w:hAnsi="Arial"/>
          <w:sz w:val="19"/>
          <w:szCs w:val="19"/>
          <w:b w:val="1"/>
          <w:bCs w:val="1"/>
          <w:color w:val="auto"/>
        </w:rPr>
        <w:t>4.1   Release and Covenant not to Sue by HydroCision</w:t>
      </w:r>
      <w:r>
        <w:rPr>
          <w:rFonts w:ascii="Arial" w:cs="Arial" w:eastAsia="Arial" w:hAnsi="Arial"/>
          <w:sz w:val="19"/>
          <w:szCs w:val="19"/>
          <w:color w:val="auto"/>
        </w:rPr>
        <w:t>. HydroCision, on behalf of itself and its respective past and present</w:t>
      </w:r>
    </w:p>
    <w:p>
      <w:pPr>
        <w:spacing w:after="0" w:line="12" w:lineRule="exact"/>
        <w:rPr>
          <w:sz w:val="20"/>
          <w:szCs w:val="20"/>
          <w:color w:val="auto"/>
        </w:rPr>
      </w:pPr>
    </w:p>
    <w:p>
      <w:pPr>
        <w:jc w:val="both"/>
        <w:spacing w:after="0" w:line="230" w:lineRule="auto"/>
        <w:rPr>
          <w:sz w:val="20"/>
          <w:szCs w:val="20"/>
          <w:color w:val="auto"/>
        </w:rPr>
      </w:pPr>
      <w:r>
        <w:rPr>
          <w:rFonts w:ascii="Arial" w:cs="Arial" w:eastAsia="Arial" w:hAnsi="Arial"/>
          <w:sz w:val="19"/>
          <w:szCs w:val="19"/>
          <w:color w:val="auto"/>
        </w:rPr>
        <w:t>Affiliates, licensees, sublicensees, customers, successors, assigns, officers, directors, partners, members, employees, agents, trustees, acquirers, parents, subsidiaries, beneficiaries, suppliers, distributors and/or manufacturers, fully and forever releases, acquits, covenants not to sue, or to permit any HydroCision representative, subsidiary, successor, and assign, Affiliate, licensee or sublicensee to sue, initiate any action against, or otherwise hold liable PROCEPT, and its current and future Affiliates, sublicensees, licensees, customers, distributors, suppliers, manufacturers, re-sellers, successors, assigns, officers, directors, partners, members, employees, agents, trustees, acquirers, parents, subsidiaries, beneficiaries, and representatives (in each case in such party’s capacity as a customer, distributor, supplier, re-seller, manufacturer, or user of a Licensed Product), , from and against any and all claims, liability, demands, actions, causes of action (whether known or unknown), suits of any kind or nature, rights, damages, costs, losses, expenses, and compensation that were or could have been brought against PROCEPT its Affiliates, sublicensees, licensees, or any of PROCEPT’s customers, distributors, suppliers, manufacturers, re-sellers, and/or users in such party’s capacity as a customer, distributor, supplier, re-seller, or user of a Licensed Product relating to infringement or alleged infringement of the Licensed Patents or otherwise, occurring prior to or after the Effective Date.</w:t>
      </w:r>
    </w:p>
    <w:p>
      <w:pPr>
        <w:spacing w:after="0" w:line="145" w:lineRule="exact"/>
        <w:rPr>
          <w:sz w:val="20"/>
          <w:szCs w:val="20"/>
          <w:color w:val="auto"/>
        </w:rPr>
      </w:pPr>
    </w:p>
    <w:p>
      <w:pPr>
        <w:ind w:left="620" w:hanging="617"/>
        <w:spacing w:after="0"/>
        <w:tabs>
          <w:tab w:leader="none" w:pos="620" w:val="left"/>
        </w:tabs>
        <w:numPr>
          <w:ilvl w:val="0"/>
          <w:numId w:val="91"/>
        </w:numPr>
        <w:rPr>
          <w:rFonts w:ascii="Arial" w:cs="Arial" w:eastAsia="Arial" w:hAnsi="Arial"/>
          <w:sz w:val="21"/>
          <w:szCs w:val="21"/>
          <w:b w:val="1"/>
          <w:bCs w:val="1"/>
          <w:color w:val="auto"/>
        </w:rPr>
      </w:pPr>
      <w:r>
        <w:rPr>
          <w:rFonts w:ascii="Arial" w:cs="Arial" w:eastAsia="Arial" w:hAnsi="Arial"/>
          <w:sz w:val="21"/>
          <w:szCs w:val="21"/>
          <w:b w:val="1"/>
          <w:bCs w:val="1"/>
          <w:color w:val="auto"/>
        </w:rPr>
        <w:t>PAYMENT</w:t>
      </w:r>
    </w:p>
    <w:p>
      <w:pPr>
        <w:spacing w:after="0" w:line="171" w:lineRule="exact"/>
        <w:rPr>
          <w:sz w:val="20"/>
          <w:szCs w:val="20"/>
          <w:color w:val="auto"/>
        </w:rPr>
      </w:pPr>
    </w:p>
    <w:p>
      <w:pPr>
        <w:ind w:firstLine="619"/>
        <w:spacing w:after="0" w:line="256" w:lineRule="auto"/>
        <w:rPr>
          <w:sz w:val="20"/>
          <w:szCs w:val="20"/>
          <w:color w:val="auto"/>
        </w:rPr>
      </w:pPr>
      <w:r>
        <w:rPr>
          <w:rFonts w:ascii="Arial" w:cs="Arial" w:eastAsia="Arial" w:hAnsi="Arial"/>
          <w:sz w:val="20"/>
          <w:szCs w:val="20"/>
          <w:b w:val="1"/>
          <w:bCs w:val="1"/>
          <w:color w:val="auto"/>
        </w:rPr>
        <w:t>5.1 Up Front Payment</w:t>
      </w:r>
      <w:r>
        <w:rPr>
          <w:rFonts w:ascii="Arial" w:cs="Arial" w:eastAsia="Arial" w:hAnsi="Arial"/>
          <w:sz w:val="20"/>
          <w:szCs w:val="20"/>
          <w:color w:val="auto"/>
        </w:rPr>
        <w:t>. In consideration of the licenses,releases and other rights granted hereunder, PROCEPT agrees to</w:t>
      </w:r>
      <w:r>
        <w:rPr>
          <w:rFonts w:ascii="Arial" w:cs="Arial" w:eastAsia="Arial" w:hAnsi="Arial"/>
          <w:sz w:val="20"/>
          <w:szCs w:val="20"/>
          <w:b w:val="1"/>
          <w:bCs w:val="1"/>
          <w:color w:val="auto"/>
        </w:rPr>
        <w:t xml:space="preserve"> </w:t>
      </w:r>
      <w:r>
        <w:rPr>
          <w:rFonts w:ascii="Arial" w:cs="Arial" w:eastAsia="Arial" w:hAnsi="Arial"/>
          <w:sz w:val="20"/>
          <w:szCs w:val="20"/>
          <w:color w:val="auto"/>
        </w:rPr>
        <w:t>pay HydroCision two million, five hundred thousand dollars U.S. dollars ($2,500,000) (the “</w:t>
      </w:r>
      <w:r>
        <w:rPr>
          <w:rFonts w:ascii="Arial" w:cs="Arial" w:eastAsia="Arial" w:hAnsi="Arial"/>
          <w:sz w:val="20"/>
          <w:szCs w:val="20"/>
          <w:b w:val="1"/>
          <w:bCs w:val="1"/>
          <w:color w:val="auto"/>
        </w:rPr>
        <w:t>Up Front Payment</w:t>
      </w:r>
      <w:r>
        <w:rPr>
          <w:rFonts w:ascii="Arial" w:cs="Arial" w:eastAsia="Arial" w:hAnsi="Arial"/>
          <w:sz w:val="20"/>
          <w:szCs w:val="20"/>
          <w:color w:val="auto"/>
        </w:rPr>
        <w:t>”). [***].</w:t>
      </w:r>
    </w:p>
    <w:p>
      <w:pPr>
        <w:spacing w:after="0" w:line="12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b w:val="1"/>
          <w:bCs w:val="1"/>
          <w:color w:val="auto"/>
        </w:rPr>
        <w:t>5.2</w:t>
      </w:r>
      <w:r>
        <w:rPr>
          <w:sz w:val="20"/>
          <w:szCs w:val="20"/>
          <w:color w:val="auto"/>
        </w:rPr>
        <w:tab/>
      </w:r>
      <w:r>
        <w:rPr>
          <w:rFonts w:ascii="Arial" w:cs="Arial" w:eastAsia="Arial" w:hAnsi="Arial"/>
          <w:sz w:val="19"/>
          <w:szCs w:val="19"/>
          <w:b w:val="1"/>
          <w:bCs w:val="1"/>
          <w:color w:val="auto"/>
        </w:rPr>
        <w:t>Terms Related to Payment</w:t>
      </w:r>
      <w:r>
        <w:rPr>
          <w:rFonts w:ascii="Arial" w:cs="Arial" w:eastAsia="Arial" w:hAnsi="Arial"/>
          <w:sz w:val="19"/>
          <w:szCs w:val="19"/>
          <w:color w:val="auto"/>
        </w:rPr>
        <w:t>. [***].</w:t>
      </w:r>
    </w:p>
    <w:p>
      <w:pPr>
        <w:spacing w:after="0" w:line="171" w:lineRule="exact"/>
        <w:rPr>
          <w:sz w:val="20"/>
          <w:szCs w:val="20"/>
          <w:color w:val="auto"/>
        </w:rPr>
      </w:pPr>
    </w:p>
    <w:p>
      <w:pPr>
        <w:ind w:left="620" w:hanging="617"/>
        <w:spacing w:after="0"/>
        <w:tabs>
          <w:tab w:leader="none" w:pos="620"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color w:val="auto"/>
        </w:rPr>
        <w:t>REPRESENTATIONS, WARRANTIES AND COVENANTS</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b w:val="1"/>
          <w:bCs w:val="1"/>
          <w:color w:val="auto"/>
        </w:rPr>
        <w:t>6.1 Representations, Warranties, and Covenants of PROCEPT</w:t>
      </w:r>
      <w:r>
        <w:rPr>
          <w:rFonts w:ascii="Arial" w:cs="Arial" w:eastAsia="Arial" w:hAnsi="Arial"/>
          <w:sz w:val="21"/>
          <w:szCs w:val="21"/>
          <w:color w:val="auto"/>
        </w:rPr>
        <w:t>. PROCEPT represents, warrants, and covenants as of the</w:t>
      </w:r>
      <w:r>
        <w:rPr>
          <w:rFonts w:ascii="Arial" w:cs="Arial" w:eastAsia="Arial" w:hAnsi="Arial"/>
          <w:sz w:val="21"/>
          <w:szCs w:val="21"/>
          <w:b w:val="1"/>
          <w:bCs w:val="1"/>
          <w:color w:val="auto"/>
        </w:rPr>
        <w:t xml:space="preserve"> </w:t>
      </w:r>
      <w:r>
        <w:rPr>
          <w:rFonts w:ascii="Arial" w:cs="Arial" w:eastAsia="Arial" w:hAnsi="Arial"/>
          <w:sz w:val="21"/>
          <w:szCs w:val="21"/>
          <w:color w:val="auto"/>
        </w:rPr>
        <w:t>Effective Date to HydroCision that (a) it has full corporate power and authority to execute and deliver this Agreement and to consummate the transactions contemplated hereby; (b) the execution of this Agreement by PROCEPT and the performance of its obligations hereunder will not violate any agreement, whether written or oral, to which PROCEPT is a party; (c) PROCEPT understands that this Agreement may not provide</w:t>
      </w:r>
    </w:p>
    <w:p>
      <w:pPr>
        <w:sectPr>
          <w:pgSz w:w="11900" w:h="16838" w:orient="portrait"/>
          <w:cols w:equalWidth="0" w:num="1">
            <w:col w:w="11240"/>
          </w:cols>
          <w:pgMar w:left="320" w:top="1343" w:right="339" w:bottom="1440" w:gutter="0" w:footer="0" w:header="0"/>
        </w:sectPr>
      </w:pPr>
    </w:p>
    <w:bookmarkStart w:id="143" w:name="page144"/>
    <w:bookmarkEnd w:id="143"/>
    <w:p>
      <w:pPr>
        <w:jc w:val="both"/>
        <w:spacing w:after="0" w:line="224" w:lineRule="auto"/>
        <w:rPr>
          <w:sz w:val="20"/>
          <w:szCs w:val="20"/>
          <w:color w:val="auto"/>
        </w:rPr>
      </w:pPr>
      <w:r>
        <w:rPr>
          <w:rFonts w:ascii="Arial" w:cs="Arial" w:eastAsia="Arial" w:hAnsi="Arial"/>
          <w:sz w:val="21"/>
          <w:szCs w:val="21"/>
          <w:color w:val="auto"/>
        </w:rPr>
        <w:t>PROCEPT all of the rights needed, if any, from parties other than HydroCision to make, have made, use, sell, offer for sale, or import into the United States the Licensed Products; and (d) PROCEPT has the full legal authority necessary to enter into this Agreement and perform the duties and obligations outlined in this Agreement.</w:t>
      </w:r>
    </w:p>
    <w:p>
      <w:pPr>
        <w:spacing w:after="0" w:line="143" w:lineRule="exact"/>
        <w:rPr>
          <w:sz w:val="20"/>
          <w:szCs w:val="20"/>
          <w:color w:val="auto"/>
        </w:rPr>
      </w:pPr>
    </w:p>
    <w:p>
      <w:pPr>
        <w:jc w:val="both"/>
        <w:ind w:firstLine="619"/>
        <w:spacing w:after="0" w:line="232" w:lineRule="auto"/>
        <w:rPr>
          <w:sz w:val="20"/>
          <w:szCs w:val="20"/>
          <w:color w:val="auto"/>
        </w:rPr>
      </w:pPr>
      <w:r>
        <w:rPr>
          <w:rFonts w:ascii="Arial" w:cs="Arial" w:eastAsia="Arial" w:hAnsi="Arial"/>
          <w:sz w:val="19"/>
          <w:szCs w:val="19"/>
          <w:b w:val="1"/>
          <w:bCs w:val="1"/>
          <w:color w:val="auto"/>
        </w:rPr>
        <w:t>6.2 Representations, Warranties, and Covenants of HydroCision</w:t>
      </w:r>
      <w:r>
        <w:rPr>
          <w:rFonts w:ascii="Arial" w:cs="Arial" w:eastAsia="Arial" w:hAnsi="Arial"/>
          <w:sz w:val="19"/>
          <w:szCs w:val="19"/>
          <w:color w:val="auto"/>
        </w:rPr>
        <w:t>. HydroCision represents and warrants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 Date that (a) it has full corporate power and authority to execute and deliver this Agreement and to consummate the transactions contemplated hereby; (b) the execution of this Agreement by HydroCision and the performance of its obligations hereunder will not violate any agreement, whether written or oral, to which HydroCision is a party; (c) it has full, complete and exclusive rights to grant all licenses, covenants and other rights to PROCEPT and to perform all obligations of HydroCision under this Agreement, (d) the Patents set forth on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w:t>
      </w:r>
      <w:r>
        <w:rPr>
          <w:rFonts w:ascii="Arial" w:cs="Arial" w:eastAsia="Arial" w:hAnsi="Arial"/>
          <w:sz w:val="19"/>
          <w:szCs w:val="19"/>
          <w:color w:val="auto"/>
          <w:highlight w:val="white"/>
        </w:rPr>
        <w:t>constitute all Patents owned by HydroCision, or under which HydroCision is</w:t>
      </w:r>
      <w:r>
        <w:rPr>
          <w:rFonts w:ascii="Arial" w:cs="Arial" w:eastAsia="Arial" w:hAnsi="Arial"/>
          <w:sz w:val="19"/>
          <w:szCs w:val="19"/>
          <w:color w:val="auto"/>
        </w:rPr>
        <w:t xml:space="preserve"> </w:t>
      </w:r>
      <w:r>
        <w:rPr>
          <w:rFonts w:ascii="Arial" w:cs="Arial" w:eastAsia="Arial" w:hAnsi="Arial"/>
          <w:sz w:val="19"/>
          <w:szCs w:val="19"/>
          <w:color w:val="auto"/>
          <w:highlight w:val="white"/>
        </w:rPr>
        <w:t xml:space="preserve">granted any right or license by any Third Party, that are necessary or useful for, or related to, the manufacture, use or application of </w:t>
      </w:r>
      <w:r>
        <w:rPr>
          <w:rFonts w:ascii="Arial" w:cs="Arial" w:eastAsia="Arial" w:hAnsi="Arial"/>
          <w:sz w:val="19"/>
          <w:szCs w:val="19"/>
          <w:color w:val="auto"/>
        </w:rPr>
        <w:t xml:space="preserve">Fluid Jet Technology in any field of use, (e) to the best of HydroCision’s current knowledge the use and practice by PROCEPT of the inventions claimed in the Licensed Patents in connection with the manufacture development or commercialization of Licensed Products will not infringe or misappropriate the Intellectual Property Rights of any Third Party, and (f) there are no past or present challenges by </w:t>
      </w:r>
      <w:r>
        <w:rPr>
          <w:rFonts w:ascii="Arial" w:cs="Arial" w:eastAsia="Arial" w:hAnsi="Arial"/>
          <w:sz w:val="19"/>
          <w:szCs w:val="19"/>
          <w:color w:val="auto"/>
          <w:highlight w:val="white"/>
        </w:rPr>
        <w:t>any Third Party to the validity, scope or enforceability of any of the Licensed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-540385</wp:posOffset>
            </wp:positionV>
            <wp:extent cx="7138670" cy="401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38670" cy="401320"/>
                    </a:xfrm>
                    <a:prstGeom prst="rect">
                      <a:avLst/>
                    </a:prstGeom>
                    <a:noFill/>
                  </pic:spPr>
                </pic:pic>
              </a:graphicData>
            </a:graphic>
          </wp:anchor>
        </w:drawing>
      </w:r>
    </w:p>
    <w:p>
      <w:pPr>
        <w:spacing w:after="0" w:line="132"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b w:val="1"/>
          <w:bCs w:val="1"/>
          <w:color w:val="auto"/>
        </w:rPr>
        <w:t>6.3 WARRANTY DISCLAIMERS</w:t>
      </w:r>
      <w:r>
        <w:rPr>
          <w:rFonts w:ascii="Arial" w:cs="Arial" w:eastAsia="Arial" w:hAnsi="Arial"/>
          <w:sz w:val="19"/>
          <w:szCs w:val="19"/>
          <w:color w:val="auto"/>
        </w:rPr>
        <w:t>. (A) EXCEPT AS OTHERWISE EXPRESSLY SET FORTH HEREIN, THE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GRANTED TO PROCEPT BY HYDROCISION UNDER THIS AGREEMENT ARE GRANTED IN “AS IS” CONDITION; (B) EXCEPT AS OTHERWISE EXPRESSLY SET FORTH IN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ABOVE, HYDROCISION MAKES NO REPRESENTATIONS OR WARRANTIES TO PROCEPT OF ANY KIND, INCLUDING WITHOUT LIMITATION, EXPRESS, IMPLIED, STATUTORY, MERCHANTABILITY, FITNESS FOR A PARTICULAR PURPOSE, PATENT ENFORCEABILITY, OR PATENT VALIDITY REPRESENTATIONS AND/OR WARRANTIES; AND (C) HYDROCISION MAKES NO REPRESENTATION THAT THE USE OF THE LICENSED PATENTS IN CONNECTION WITH THE MANUFACTURE, USE, SALE, OFFER FOR SALE, OR IMPORT OF LICENSED PRODUCTS WILL NOT INFRINGE, DIRECTLY, CONTRIBUTORILY, OR BY INDUCEMENT, ANY PATENT, COPYRIGHT, TRADEMARK OR OTHER PROPRIETARY RIGHT OF ANY THIRD PARTY.</w:t>
      </w:r>
    </w:p>
    <w:p>
      <w:pPr>
        <w:spacing w:after="0" w:line="145"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0"/>
          <w:szCs w:val="20"/>
          <w:b w:val="1"/>
          <w:bCs w:val="1"/>
          <w:color w:val="auto"/>
        </w:rPr>
        <w:t>6.4 Third Party Patent Issues</w:t>
      </w:r>
      <w:r>
        <w:rPr>
          <w:rFonts w:ascii="Arial" w:cs="Arial" w:eastAsia="Arial" w:hAnsi="Arial"/>
          <w:sz w:val="20"/>
          <w:szCs w:val="20"/>
          <w:color w:val="auto"/>
        </w:rPr>
        <w:t>. Each Party shall promptly notify the other Party if it becomes aware during the Term that</w:t>
      </w:r>
      <w:r>
        <w:rPr>
          <w:rFonts w:ascii="Arial" w:cs="Arial" w:eastAsia="Arial" w:hAnsi="Arial"/>
          <w:sz w:val="20"/>
          <w:szCs w:val="20"/>
          <w:b w:val="1"/>
          <w:bCs w:val="1"/>
          <w:color w:val="auto"/>
        </w:rPr>
        <w:t xml:space="preserve"> </w:t>
      </w:r>
      <w:r>
        <w:rPr>
          <w:rFonts w:ascii="Arial" w:cs="Arial" w:eastAsia="Arial" w:hAnsi="Arial"/>
          <w:sz w:val="20"/>
          <w:szCs w:val="20"/>
          <w:color w:val="auto"/>
        </w:rPr>
        <w:t>the Patents of any Third Party would be infringed by PROCEPT’s use or practice of the Licensed Patents in accordance with the licenses granted in Section 2.1. In such case, the Parties shall promptly meet and discuss the nature of the alleged infringement and possible resolution thereof. HydroCision shall, at its expense, use its best efforts, in consultation with PROCEPT, to modify the Licensed Product to avoid such infringement. If HydroCision is unable to modify the Licensed Product to avoid such infringement, then PROCEPT shall have the sole right, but not the obligation, to negotiate with the applicable Third Party obtain a license on commercially reasonable terms under such Third Party patent rights. PROCEPT will reasonably consult with HydroCision in connection with the negotiations for and financial terms of such a license, and will consider in good faith HydroCision’s reasonable comments in relation thereto, including whether HydroCision Products require such a license. If PROCEPT obtains such a license, the Parties will discuss in good faith and will fairly allocate the non-royalty payments due under such Third Party license based on the fields of use of such license and the number of licensees and sublicensees under the applicable Third Party Patents at such time, provided that in no event will HydroCision bear a share of such non-royalty payments that is less than PROCEPT’s. Each Party (and any other</w:t>
      </w:r>
    </w:p>
    <w:p>
      <w:pPr>
        <w:sectPr>
          <w:pgSz w:w="11900" w:h="16838" w:orient="portrait"/>
          <w:cols w:equalWidth="0" w:num="1">
            <w:col w:w="11240"/>
          </w:cols>
          <w:pgMar w:left="320" w:top="1343" w:right="339" w:bottom="1440" w:gutter="0" w:footer="0" w:header="0"/>
        </w:sectPr>
      </w:pPr>
    </w:p>
    <w:bookmarkStart w:id="144" w:name="page145"/>
    <w:bookmarkEnd w:id="144"/>
    <w:p>
      <w:pPr>
        <w:spacing w:after="0" w:line="233" w:lineRule="auto"/>
        <w:rPr>
          <w:sz w:val="20"/>
          <w:szCs w:val="20"/>
          <w:color w:val="auto"/>
        </w:rPr>
      </w:pPr>
      <w:r>
        <w:rPr>
          <w:rFonts w:ascii="Arial" w:cs="Arial" w:eastAsia="Arial" w:hAnsi="Arial"/>
          <w:sz w:val="21"/>
          <w:szCs w:val="21"/>
          <w:color w:val="auto"/>
        </w:rPr>
        <w:t>licensees and sublicensees) shall be responsible for any royalty payments arising from sales of its products and services covered by the applicable Third Party Patents.</w:t>
      </w:r>
    </w:p>
    <w:p>
      <w:pPr>
        <w:spacing w:after="0" w:line="144"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21"/>
          <w:szCs w:val="21"/>
          <w:b w:val="1"/>
          <w:bCs w:val="1"/>
          <w:color w:val="auto"/>
        </w:rPr>
        <w:t>6.5</w:t>
      </w:r>
      <w:r>
        <w:rPr>
          <w:sz w:val="20"/>
          <w:szCs w:val="20"/>
          <w:color w:val="auto"/>
        </w:rPr>
        <w:tab/>
      </w:r>
      <w:r>
        <w:rPr>
          <w:rFonts w:ascii="Arial" w:cs="Arial" w:eastAsia="Arial" w:hAnsi="Arial"/>
          <w:sz w:val="21"/>
          <w:szCs w:val="21"/>
          <w:color w:val="auto"/>
        </w:rPr>
        <w:t>[***]</w:t>
      </w:r>
    </w:p>
    <w:p>
      <w:pPr>
        <w:spacing w:after="0" w:line="171" w:lineRule="exact"/>
        <w:rPr>
          <w:sz w:val="20"/>
          <w:szCs w:val="20"/>
          <w:color w:val="auto"/>
        </w:rPr>
      </w:pPr>
    </w:p>
    <w:p>
      <w:pPr>
        <w:ind w:left="620" w:hanging="617"/>
        <w:spacing w:after="0"/>
        <w:tabs>
          <w:tab w:leader="none" w:pos="62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CONFIDENTIALITY</w:t>
      </w:r>
    </w:p>
    <w:p>
      <w:pPr>
        <w:spacing w:after="0" w:line="171" w:lineRule="exact"/>
        <w:rPr>
          <w:rFonts w:ascii="Arial" w:cs="Arial" w:eastAsia="Arial" w:hAnsi="Arial"/>
          <w:sz w:val="21"/>
          <w:szCs w:val="21"/>
          <w:b w:val="1"/>
          <w:bCs w:val="1"/>
          <w:color w:val="auto"/>
        </w:rPr>
      </w:pPr>
    </w:p>
    <w:p>
      <w:pPr>
        <w:ind w:left="62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7.1   Confidentiality</w:t>
      </w:r>
      <w:r>
        <w:rPr>
          <w:rFonts w:ascii="Arial" w:cs="Arial" w:eastAsia="Arial" w:hAnsi="Arial"/>
          <w:sz w:val="21"/>
          <w:szCs w:val="21"/>
          <w:color w:val="auto"/>
        </w:rPr>
        <w:t>.</w:t>
      </w:r>
    </w:p>
    <w:p>
      <w:pPr>
        <w:spacing w:after="0" w:line="177" w:lineRule="exact"/>
        <w:rPr>
          <w:rFonts w:ascii="Arial" w:cs="Arial" w:eastAsia="Arial" w:hAnsi="Arial"/>
          <w:sz w:val="21"/>
          <w:szCs w:val="21"/>
          <w:b w:val="1"/>
          <w:bCs w:val="1"/>
          <w:color w:val="auto"/>
        </w:rPr>
      </w:pPr>
    </w:p>
    <w:p>
      <w:pPr>
        <w:jc w:val="both"/>
        <w:ind w:firstLine="1241"/>
        <w:spacing w:after="0" w:line="216" w:lineRule="auto"/>
        <w:tabs>
          <w:tab w:leader="none" w:pos="1852" w:val="left"/>
        </w:tabs>
        <w:numPr>
          <w:ilvl w:val="1"/>
          <w:numId w:val="93"/>
        </w:numPr>
        <w:rPr>
          <w:rFonts w:ascii="Arial" w:cs="Arial" w:eastAsia="Arial" w:hAnsi="Arial"/>
          <w:sz w:val="21"/>
          <w:szCs w:val="21"/>
          <w:b w:val="1"/>
          <w:bCs w:val="1"/>
          <w:color w:val="auto"/>
        </w:rPr>
      </w:pPr>
      <w:r>
        <w:rPr>
          <w:rFonts w:ascii="Arial" w:cs="Arial" w:eastAsia="Arial" w:hAnsi="Arial"/>
          <w:sz w:val="21"/>
          <w:szCs w:val="21"/>
          <w:color w:val="auto"/>
        </w:rPr>
        <w:t>All information provided pursuant to this Agreement, including without limitation, the terms of this Agreement and the negotiations leading to this Agreement (but not the existence of the Agreement) shall be regarded as confidential information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The Parties agree that, other than as required by law or expressly permitted by this Agreement, they shall not disclose any Confidential Information to any third party and shall use the Confidential Information only for the purposes set forth herein.</w:t>
      </w:r>
    </w:p>
    <w:p>
      <w:pPr>
        <w:spacing w:after="0" w:line="150" w:lineRule="exact"/>
        <w:rPr>
          <w:rFonts w:ascii="Arial" w:cs="Arial" w:eastAsia="Arial" w:hAnsi="Arial"/>
          <w:sz w:val="21"/>
          <w:szCs w:val="21"/>
          <w:b w:val="1"/>
          <w:bCs w:val="1"/>
          <w:color w:val="auto"/>
        </w:rPr>
      </w:pPr>
    </w:p>
    <w:p>
      <w:pPr>
        <w:jc w:val="both"/>
        <w:ind w:firstLine="1241"/>
        <w:spacing w:after="0" w:line="223" w:lineRule="auto"/>
        <w:tabs>
          <w:tab w:leader="none" w:pos="1851"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Either Party may disclose the terms and existence of this Agreement to its accountants, attorneys, bankers, investors, prospective investors, and any third party covered by the license or the release provided above (collectively, the “</w:t>
      </w:r>
      <w:r>
        <w:rPr>
          <w:rFonts w:ascii="Arial" w:cs="Arial" w:eastAsia="Arial" w:hAnsi="Arial"/>
          <w:sz w:val="20"/>
          <w:szCs w:val="20"/>
          <w:b w:val="1"/>
          <w:bCs w:val="1"/>
          <w:color w:val="auto"/>
        </w:rPr>
        <w:t>Permitted</w:t>
      </w:r>
      <w:r>
        <w:rPr>
          <w:rFonts w:ascii="Arial" w:cs="Arial" w:eastAsia="Arial" w:hAnsi="Arial"/>
          <w:sz w:val="20"/>
          <w:szCs w:val="20"/>
          <w:color w:val="auto"/>
        </w:rPr>
        <w:t xml:space="preserve"> </w:t>
      </w:r>
      <w:r>
        <w:rPr>
          <w:rFonts w:ascii="Arial" w:cs="Arial" w:eastAsia="Arial" w:hAnsi="Arial"/>
          <w:sz w:val="20"/>
          <w:szCs w:val="20"/>
          <w:b w:val="1"/>
          <w:bCs w:val="1"/>
          <w:color w:val="auto"/>
        </w:rPr>
        <w:t>Third Parties</w:t>
      </w:r>
      <w:r>
        <w:rPr>
          <w:rFonts w:ascii="Arial" w:cs="Arial" w:eastAsia="Arial" w:hAnsi="Arial"/>
          <w:sz w:val="20"/>
          <w:szCs w:val="20"/>
          <w:color w:val="auto"/>
        </w:rPr>
        <w:t>”), provided that any such Permitted Third Party is bound to confidentiality obligations that are at least as restrictive as</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terms of this confidentiality provision in this Agreement. Either Party may disclose the terms and existence of this Agreement in connection with any litigation involving the Licensed Patents, so long as such Party uses reasonable efforts to cause such disclosure to be covered by a Protective Order or mediation agreement that limits access to those persons typically granted access under “Highly Confidential – Outside Attorneys’ Eyes Only” provisions.</w:t>
      </w:r>
    </w:p>
    <w:p>
      <w:pPr>
        <w:spacing w:after="0" w:line="154" w:lineRule="exact"/>
        <w:rPr>
          <w:rFonts w:ascii="Arial" w:cs="Arial" w:eastAsia="Arial" w:hAnsi="Arial"/>
          <w:sz w:val="20"/>
          <w:szCs w:val="20"/>
          <w:b w:val="1"/>
          <w:bCs w:val="1"/>
          <w:color w:val="auto"/>
        </w:rPr>
      </w:pPr>
    </w:p>
    <w:p>
      <w:pPr>
        <w:jc w:val="both"/>
        <w:ind w:firstLine="1241"/>
        <w:spacing w:after="0" w:line="227" w:lineRule="auto"/>
        <w:tabs>
          <w:tab w:leader="none" w:pos="1853" w:val="left"/>
        </w:tabs>
        <w:numPr>
          <w:ilvl w:val="1"/>
          <w:numId w:val="93"/>
        </w:numPr>
        <w:rPr>
          <w:rFonts w:ascii="Arial" w:cs="Arial" w:eastAsia="Arial" w:hAnsi="Arial"/>
          <w:sz w:val="20"/>
          <w:szCs w:val="20"/>
          <w:b w:val="1"/>
          <w:bCs w:val="1"/>
          <w:color w:val="auto"/>
        </w:rPr>
      </w:pPr>
      <w:r>
        <w:rPr>
          <w:rFonts w:ascii="Arial" w:cs="Arial" w:eastAsia="Arial" w:hAnsi="Arial"/>
          <w:sz w:val="20"/>
          <w:szCs w:val="20"/>
          <w:color w:val="auto"/>
        </w:rPr>
        <w:t>Confidential Information shall not include information that: (i) was already known by the receiving Party, other than under an agreement of secrecy or non-use, at the time of its disclosure; (ii) has passed into the public domain prior to or after its disclosure, other than through any act or omission attributable to principals, officers, employees, consultants or agents of the receiving Party; or (iii) was subsequently disclosed, other than under an agreement of secrecy or non-use, by a third party that had not acquired the information under an obligation of confidentiality.</w:t>
      </w:r>
    </w:p>
    <w:p>
      <w:pPr>
        <w:spacing w:after="0" w:line="150" w:lineRule="exact"/>
        <w:rPr>
          <w:rFonts w:ascii="Arial" w:cs="Arial" w:eastAsia="Arial" w:hAnsi="Arial"/>
          <w:sz w:val="20"/>
          <w:szCs w:val="20"/>
          <w:b w:val="1"/>
          <w:bCs w:val="1"/>
          <w:color w:val="auto"/>
        </w:rPr>
      </w:pPr>
    </w:p>
    <w:p>
      <w:pPr>
        <w:jc w:val="both"/>
        <w:ind w:firstLine="1241"/>
        <w:spacing w:after="0" w:line="224" w:lineRule="auto"/>
        <w:tabs>
          <w:tab w:leader="none" w:pos="1851" w:val="left"/>
        </w:tabs>
        <w:numPr>
          <w:ilvl w:val="1"/>
          <w:numId w:val="93"/>
        </w:numPr>
        <w:rPr>
          <w:rFonts w:ascii="Arial" w:cs="Arial" w:eastAsia="Arial" w:hAnsi="Arial"/>
          <w:sz w:val="21"/>
          <w:szCs w:val="21"/>
          <w:b w:val="1"/>
          <w:bCs w:val="1"/>
          <w:color w:val="auto"/>
        </w:rPr>
      </w:pPr>
      <w:r>
        <w:rPr>
          <w:rFonts w:ascii="Arial" w:cs="Arial" w:eastAsia="Arial" w:hAnsi="Arial"/>
          <w:sz w:val="21"/>
          <w:szCs w:val="21"/>
          <w:color w:val="auto"/>
        </w:rPr>
        <w:t>Notwithstanding the foregoing, the Parties may disclose the fact that PROCEPT and HydroCision entered into this Agreement; and PROCEPT may disclose that certain products or services of PROCEPT are covered by the license for the Licensed Patents.</w:t>
      </w:r>
    </w:p>
    <w:p>
      <w:pPr>
        <w:spacing w:after="0" w:line="142" w:lineRule="exact"/>
        <w:rPr>
          <w:rFonts w:ascii="Arial" w:cs="Arial" w:eastAsia="Arial" w:hAnsi="Arial"/>
          <w:sz w:val="21"/>
          <w:szCs w:val="21"/>
          <w:b w:val="1"/>
          <w:bCs w:val="1"/>
          <w:color w:val="auto"/>
        </w:rPr>
      </w:pPr>
    </w:p>
    <w:p>
      <w:pPr>
        <w:ind w:left="620" w:hanging="617"/>
        <w:spacing w:after="0"/>
        <w:tabs>
          <w:tab w:leader="none" w:pos="62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color w:val="auto"/>
        </w:rPr>
        <w:t>TERM AND TERMINATION</w:t>
      </w:r>
    </w:p>
    <w:p>
      <w:pPr>
        <w:spacing w:after="0" w:line="171" w:lineRule="exact"/>
        <w:rPr>
          <w:sz w:val="20"/>
          <w:szCs w:val="20"/>
          <w:color w:val="auto"/>
        </w:rPr>
      </w:pPr>
    </w:p>
    <w:p>
      <w:pPr>
        <w:jc w:val="both"/>
        <w:ind w:left="80" w:firstLine="542"/>
        <w:spacing w:after="0" w:line="236" w:lineRule="auto"/>
        <w:rPr>
          <w:sz w:val="20"/>
          <w:szCs w:val="20"/>
          <w:color w:val="auto"/>
        </w:rPr>
      </w:pPr>
      <w:r>
        <w:rPr>
          <w:rFonts w:ascii="Arial" w:cs="Arial" w:eastAsia="Arial" w:hAnsi="Arial"/>
          <w:sz w:val="21"/>
          <w:szCs w:val="21"/>
          <w:b w:val="1"/>
          <w:bCs w:val="1"/>
          <w:color w:val="auto"/>
        </w:rPr>
        <w:t>8.1 Term</w:t>
      </w:r>
      <w:r>
        <w:rPr>
          <w:rFonts w:ascii="Arial" w:cs="Arial" w:eastAsia="Arial" w:hAnsi="Arial"/>
          <w:sz w:val="21"/>
          <w:szCs w:val="21"/>
          <w:color w:val="auto"/>
        </w:rPr>
        <w:t>. This Agreement shall commence on the Effective Date and unless earlier terminated, shall remain in force until</w:t>
      </w:r>
      <w:r>
        <w:rPr>
          <w:rFonts w:ascii="Arial" w:cs="Arial" w:eastAsia="Arial" w:hAnsi="Arial"/>
          <w:sz w:val="21"/>
          <w:szCs w:val="21"/>
          <w:b w:val="1"/>
          <w:bCs w:val="1"/>
          <w:color w:val="auto"/>
        </w:rPr>
        <w:t xml:space="preserve"> </w:t>
      </w:r>
      <w:r>
        <w:rPr>
          <w:rFonts w:ascii="Arial" w:cs="Arial" w:eastAsia="Arial" w:hAnsi="Arial"/>
          <w:sz w:val="21"/>
          <w:szCs w:val="21"/>
          <w:color w:val="auto"/>
        </w:rPr>
        <w:t>the expiration of the Term.</w:t>
      </w:r>
    </w:p>
    <w:p>
      <w:pPr>
        <w:spacing w:after="0" w:line="144" w:lineRule="exact"/>
        <w:rPr>
          <w:sz w:val="20"/>
          <w:szCs w:val="20"/>
          <w:color w:val="auto"/>
        </w:rPr>
      </w:pPr>
    </w:p>
    <w:p>
      <w:pPr>
        <w:jc w:val="both"/>
        <w:ind w:left="80" w:firstLine="542"/>
        <w:spacing w:after="0" w:line="237" w:lineRule="auto"/>
        <w:rPr>
          <w:sz w:val="20"/>
          <w:szCs w:val="20"/>
          <w:color w:val="auto"/>
        </w:rPr>
      </w:pPr>
      <w:r>
        <w:rPr>
          <w:rFonts w:ascii="Arial" w:cs="Arial" w:eastAsia="Arial" w:hAnsi="Arial"/>
          <w:sz w:val="20"/>
          <w:szCs w:val="20"/>
          <w:b w:val="1"/>
          <w:bCs w:val="1"/>
          <w:color w:val="auto"/>
        </w:rPr>
        <w:t>8.2 Termination for Breach</w:t>
      </w:r>
      <w:r>
        <w:rPr>
          <w:rFonts w:ascii="Arial" w:cs="Arial" w:eastAsia="Arial" w:hAnsi="Arial"/>
          <w:sz w:val="20"/>
          <w:szCs w:val="20"/>
          <w:color w:val="auto"/>
        </w:rPr>
        <w:t>. HydroCision may terminate this Agreement upon ten (10) business days written notice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PROCEPT upon the breach by PROCEPT of any of the payment terms of this Agreement contained in </w:t>
      </w:r>
      <w:r>
        <w:rPr>
          <w:rFonts w:ascii="Arial" w:cs="Arial" w:eastAsia="Arial" w:hAnsi="Arial"/>
          <w:sz w:val="20"/>
          <w:szCs w:val="20"/>
          <w:u w:val="single" w:color="auto"/>
          <w:color w:val="auto"/>
        </w:rPr>
        <w:t>Sections 5.1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5.2</w:t>
      </w:r>
      <w:r>
        <w:rPr>
          <w:rFonts w:ascii="Arial" w:cs="Arial" w:eastAsia="Arial" w:hAnsi="Arial"/>
          <w:sz w:val="20"/>
          <w:szCs w:val="20"/>
          <w:color w:val="auto"/>
        </w:rPr>
        <w:t xml:space="preserve"> </w:t>
      </w:r>
      <w:r>
        <w:rPr>
          <w:rFonts w:ascii="Arial" w:cs="Arial" w:eastAsia="Arial" w:hAnsi="Arial"/>
          <w:sz w:val="20"/>
          <w:szCs w:val="20"/>
          <w:color w:val="auto"/>
          <w:highlight w:val="white"/>
        </w:rPr>
        <w:t>above,</w:t>
      </w:r>
      <w:r>
        <w:rPr>
          <w:rFonts w:ascii="Arial" w:cs="Arial" w:eastAsia="Arial" w:hAnsi="Arial"/>
          <w:sz w:val="20"/>
          <w:szCs w:val="20"/>
          <w:color w:val="auto"/>
        </w:rPr>
        <w:t xml:space="preserve"> provided that PROCEPT has not cured the breach within such ten (10) business day period.</w:t>
      </w:r>
    </w:p>
    <w:p>
      <w:pPr>
        <w:spacing w:after="0" w:line="144" w:lineRule="exact"/>
        <w:rPr>
          <w:sz w:val="20"/>
          <w:szCs w:val="20"/>
          <w:color w:val="auto"/>
        </w:rPr>
      </w:pPr>
    </w:p>
    <w:p>
      <w:pPr>
        <w:jc w:val="both"/>
        <w:ind w:left="80" w:firstLine="542"/>
        <w:spacing w:after="0" w:line="226" w:lineRule="auto"/>
        <w:rPr>
          <w:sz w:val="20"/>
          <w:szCs w:val="20"/>
          <w:color w:val="auto"/>
        </w:rPr>
      </w:pPr>
      <w:r>
        <w:rPr>
          <w:rFonts w:ascii="Arial" w:cs="Arial" w:eastAsia="Arial" w:hAnsi="Arial"/>
          <w:sz w:val="21"/>
          <w:szCs w:val="21"/>
          <w:b w:val="1"/>
          <w:bCs w:val="1"/>
          <w:color w:val="auto"/>
        </w:rPr>
        <w:t>8.3 No Refund</w:t>
      </w:r>
      <w:r>
        <w:rPr>
          <w:rFonts w:ascii="Arial" w:cs="Arial" w:eastAsia="Arial" w:hAnsi="Arial"/>
          <w:sz w:val="21"/>
          <w:szCs w:val="21"/>
          <w:color w:val="auto"/>
        </w:rPr>
        <w:t>. In no event, including in the event of a finding of invalidity or unenforceability of one or more claims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Licensed Patent, shall PROCEPT be entitled to a refund or reimbursement of the Up Front Payment; however, this provision shall not prevent</w:t>
      </w:r>
    </w:p>
    <w:p>
      <w:pPr>
        <w:sectPr>
          <w:pgSz w:w="11900" w:h="16838" w:orient="portrait"/>
          <w:cols w:equalWidth="0" w:num="1">
            <w:col w:w="11240"/>
          </w:cols>
          <w:pgMar w:left="320" w:top="1343" w:right="339" w:bottom="1440" w:gutter="0" w:footer="0" w:header="0"/>
        </w:sectPr>
      </w:pPr>
    </w:p>
    <w:bookmarkStart w:id="145" w:name="page146"/>
    <w:bookmarkEnd w:id="145"/>
    <w:p>
      <w:pPr>
        <w:ind w:left="80"/>
        <w:spacing w:after="0"/>
        <w:rPr>
          <w:sz w:val="20"/>
          <w:szCs w:val="20"/>
          <w:color w:val="auto"/>
        </w:rPr>
      </w:pPr>
      <w:r>
        <w:rPr>
          <w:rFonts w:ascii="Arial" w:cs="Arial" w:eastAsia="Arial" w:hAnsi="Arial"/>
          <w:sz w:val="21"/>
          <w:szCs w:val="21"/>
          <w:color w:val="auto"/>
        </w:rPr>
        <w:t>PROCEPT from recovering damages against HydroCision in the event of a breach of this Agreement by HydroCision.</w:t>
      </w:r>
    </w:p>
    <w:p>
      <w:pPr>
        <w:spacing w:after="0" w:line="165" w:lineRule="exact"/>
        <w:rPr>
          <w:sz w:val="20"/>
          <w:szCs w:val="20"/>
          <w:color w:val="auto"/>
        </w:rPr>
      </w:pPr>
    </w:p>
    <w:p>
      <w:pPr>
        <w:jc w:val="both"/>
        <w:ind w:left="80" w:firstLine="542"/>
        <w:spacing w:after="0" w:line="226" w:lineRule="auto"/>
        <w:rPr>
          <w:sz w:val="20"/>
          <w:szCs w:val="20"/>
          <w:color w:val="auto"/>
        </w:rPr>
      </w:pPr>
      <w:r>
        <w:rPr>
          <w:rFonts w:ascii="Arial" w:cs="Arial" w:eastAsia="Arial" w:hAnsi="Arial"/>
          <w:sz w:val="21"/>
          <w:szCs w:val="21"/>
          <w:b w:val="1"/>
          <w:bCs w:val="1"/>
          <w:color w:val="auto"/>
        </w:rPr>
        <w:t>8.4 Survival</w:t>
      </w:r>
      <w:r>
        <w:rPr>
          <w:rFonts w:ascii="Arial" w:cs="Arial" w:eastAsia="Arial" w:hAnsi="Arial"/>
          <w:sz w:val="21"/>
          <w:szCs w:val="21"/>
          <w:color w:val="auto"/>
        </w:rPr>
        <w:t>. Article 7 of this Agreement shall survive the termination of this Agreement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8.1</w:t>
      </w:r>
      <w:r>
        <w:rPr>
          <w:rFonts w:ascii="Arial" w:cs="Arial" w:eastAsia="Arial" w:hAnsi="Arial"/>
          <w:sz w:val="21"/>
          <w:szCs w:val="21"/>
          <w:b w:val="1"/>
          <w:bCs w:val="1"/>
          <w:color w:val="auto"/>
        </w:rPr>
        <w:t xml:space="preserve"> </w:t>
      </w:r>
      <w:r>
        <w:rPr>
          <w:rFonts w:ascii="Arial" w:cs="Arial" w:eastAsia="Arial" w:hAnsi="Arial"/>
          <w:sz w:val="21"/>
          <w:szCs w:val="21"/>
          <w:color w:val="auto"/>
        </w:rPr>
        <w:t>above.</w:t>
      </w:r>
      <w:r>
        <w:rPr>
          <w:rFonts w:ascii="Arial" w:cs="Arial" w:eastAsia="Arial" w:hAnsi="Arial"/>
          <w:sz w:val="21"/>
          <w:szCs w:val="21"/>
          <w:b w:val="1"/>
          <w:bCs w:val="1"/>
          <w:color w:val="auto"/>
        </w:rPr>
        <w:t xml:space="preserve"> </w:t>
      </w:r>
      <w:r>
        <w:rPr>
          <w:rFonts w:ascii="Arial" w:cs="Arial" w:eastAsia="Arial" w:hAnsi="Arial"/>
          <w:sz w:val="21"/>
          <w:szCs w:val="21"/>
          <w:color w:val="auto"/>
          <w:highlight w:val="white"/>
        </w:rPr>
        <w:t>Sections 2.1, 2.2, 6.3, 8.4 and 8.5, and Articles 1, 2, 4, 7 and 9 of this Agreement shall survive its expiration, in each case to the extent they have not been fully performed at the end of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6739255</wp:posOffset>
            </wp:positionH>
            <wp:positionV relativeFrom="paragraph">
              <wp:posOffset>-415290</wp:posOffset>
            </wp:positionV>
            <wp:extent cx="401320" cy="1390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401320" cy="139065"/>
                    </a:xfrm>
                    <a:prstGeom prst="rect">
                      <a:avLst/>
                    </a:prstGeom>
                    <a:noFill/>
                  </pic:spPr>
                </pic:pic>
              </a:graphicData>
            </a:graphic>
          </wp:anchor>
        </w:drawing>
      </w:r>
    </w:p>
    <w:p>
      <w:pPr>
        <w:spacing w:after="0" w:line="123"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b w:val="1"/>
          <w:bCs w:val="1"/>
          <w:color w:val="auto"/>
        </w:rPr>
        <w:t>8.5 Section 365(n) of the Bankruptcy Code</w:t>
      </w:r>
      <w:r>
        <w:rPr>
          <w:rFonts w:ascii="Arial" w:cs="Arial" w:eastAsia="Arial" w:hAnsi="Arial"/>
          <w:sz w:val="19"/>
          <w:szCs w:val="19"/>
          <w:color w:val="auto"/>
        </w:rPr>
        <w:t>. All rights and licenses granted under or pursuant to this Agreement, are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to “intellectual property” (as defined in Section 101(35A) of the Bankruptcy Code). For purposes of this Agreement, “</w:t>
      </w:r>
      <w:r>
        <w:rPr>
          <w:rFonts w:ascii="Arial" w:cs="Arial" w:eastAsia="Arial" w:hAnsi="Arial"/>
          <w:sz w:val="19"/>
          <w:szCs w:val="19"/>
          <w:b w:val="1"/>
          <w:bCs w:val="1"/>
          <w:color w:val="auto"/>
        </w:rPr>
        <w:t>Bankruptcy</w:t>
      </w:r>
      <w:r>
        <w:rPr>
          <w:rFonts w:ascii="Arial" w:cs="Arial" w:eastAsia="Arial" w:hAnsi="Arial"/>
          <w:sz w:val="19"/>
          <w:szCs w:val="19"/>
          <w:color w:val="auto"/>
        </w:rPr>
        <w:t xml:space="preserve"> </w:t>
      </w:r>
      <w:r>
        <w:rPr>
          <w:rFonts w:ascii="Arial" w:cs="Arial" w:eastAsia="Arial" w:hAnsi="Arial"/>
          <w:sz w:val="19"/>
          <w:szCs w:val="19"/>
          <w:b w:val="1"/>
          <w:bCs w:val="1"/>
          <w:color w:val="auto"/>
        </w:rPr>
        <w:t>Code</w:t>
      </w:r>
      <w:r>
        <w:rPr>
          <w:rFonts w:ascii="Arial" w:cs="Arial" w:eastAsia="Arial" w:hAnsi="Arial"/>
          <w:sz w:val="19"/>
          <w:szCs w:val="19"/>
          <w:color w:val="auto"/>
        </w:rPr>
        <w:t>” means Title 11 of the United States Code. Each Party hereby acknowledges that any Know-How, including without limitation</w:t>
      </w:r>
      <w:r>
        <w:rPr>
          <w:rFonts w:ascii="Arial" w:cs="Arial" w:eastAsia="Arial" w:hAnsi="Arial"/>
          <w:sz w:val="19"/>
          <w:szCs w:val="19"/>
          <w:b w:val="1"/>
          <w:bCs w:val="1"/>
          <w:color w:val="auto"/>
        </w:rPr>
        <w:t xml:space="preserve"> </w:t>
      </w:r>
      <w:r>
        <w:rPr>
          <w:rFonts w:ascii="Arial" w:cs="Arial" w:eastAsia="Arial" w:hAnsi="Arial"/>
          <w:sz w:val="19"/>
          <w:szCs w:val="19"/>
          <w:color w:val="auto"/>
        </w:rPr>
        <w:t>data, information, results, prototypes, designs and manufacturing information that relate to such intellectual property, constitute “embodiments” of such intellectual property pursuant to Section 365(n) of the Bankruptcy Code. Each Party agrees not to interfere with the other Party’s exercise, pursuant to Section 365(n) of the Bankruptcy Code, of rights and licenses to intellectual property licensed hereunder and embodiments thereof and agrees to use reasonable efforts to assist the other Party to obtain such intellectual property and embodiments thereof in the possession or control of Third Parties as reasonably necessary for the other Party to exercise, pursuant to Section 365(n) of the Bankruptcy Code, such rights and licenses.</w:t>
      </w:r>
    </w:p>
    <w:p>
      <w:pPr>
        <w:spacing w:after="0" w:line="145" w:lineRule="exact"/>
        <w:rPr>
          <w:sz w:val="20"/>
          <w:szCs w:val="20"/>
          <w:color w:val="auto"/>
        </w:rPr>
      </w:pPr>
    </w:p>
    <w:p>
      <w:pPr>
        <w:ind w:left="1240" w:hanging="618"/>
        <w:spacing w:after="0"/>
        <w:tabs>
          <w:tab w:leader="none" w:pos="124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171" w:lineRule="exact"/>
        <w:rPr>
          <w:sz w:val="20"/>
          <w:szCs w:val="20"/>
          <w:color w:val="auto"/>
        </w:rPr>
      </w:pPr>
    </w:p>
    <w:p>
      <w:pPr>
        <w:jc w:val="both"/>
        <w:ind w:left="80" w:firstLine="542"/>
        <w:spacing w:after="0" w:line="226" w:lineRule="auto"/>
        <w:rPr>
          <w:sz w:val="20"/>
          <w:szCs w:val="20"/>
          <w:color w:val="auto"/>
        </w:rPr>
      </w:pPr>
      <w:r>
        <w:rPr>
          <w:rFonts w:ascii="Arial" w:cs="Arial" w:eastAsia="Arial" w:hAnsi="Arial"/>
          <w:sz w:val="21"/>
          <w:szCs w:val="21"/>
          <w:b w:val="1"/>
          <w:bCs w:val="1"/>
          <w:color w:val="auto"/>
        </w:rPr>
        <w:t xml:space="preserve">9.1 Non-Agency </w:t>
      </w:r>
      <w:r>
        <w:rPr>
          <w:rFonts w:ascii="Arial" w:cs="Arial" w:eastAsia="Arial" w:hAnsi="Arial"/>
          <w:sz w:val="21"/>
          <w:szCs w:val="21"/>
          <w:color w:val="auto"/>
        </w:rPr>
        <w:t>. Nothing in this Agreement is intended or shall be deemed to constitute a partnership, agency, employer-employee, or joint venture relationship between HydroCision and PROCEPT. Except as expressly set forth in this Agreement, neither HydroCision nor PROCEPT shall incur any debts or make any commitments for the other.</w:t>
      </w:r>
    </w:p>
    <w:p>
      <w:pPr>
        <w:spacing w:after="0" w:line="143" w:lineRule="exact"/>
        <w:rPr>
          <w:sz w:val="20"/>
          <w:szCs w:val="20"/>
          <w:color w:val="auto"/>
        </w:rPr>
      </w:pPr>
    </w:p>
    <w:p>
      <w:pPr>
        <w:jc w:val="both"/>
        <w:ind w:left="80" w:firstLine="542"/>
        <w:spacing w:after="0" w:line="222" w:lineRule="auto"/>
        <w:rPr>
          <w:sz w:val="20"/>
          <w:szCs w:val="20"/>
          <w:color w:val="auto"/>
        </w:rPr>
      </w:pPr>
      <w:r>
        <w:rPr>
          <w:rFonts w:ascii="Arial" w:cs="Arial" w:eastAsia="Arial" w:hAnsi="Arial"/>
          <w:sz w:val="20"/>
          <w:szCs w:val="20"/>
          <w:b w:val="1"/>
          <w:bCs w:val="1"/>
          <w:color w:val="auto"/>
        </w:rPr>
        <w:t>9.2 Entire Agreement, Amendments, and Waivers</w:t>
      </w:r>
      <w:r>
        <w:rPr>
          <w:rFonts w:ascii="Arial" w:cs="Arial" w:eastAsia="Arial" w:hAnsi="Arial"/>
          <w:sz w:val="20"/>
          <w:szCs w:val="20"/>
          <w:color w:val="auto"/>
        </w:rPr>
        <w:t>. This Agreement and any purchase orders placed by PROCEPT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and supply of Licensed Products prior to the Effective Date, constitutes and contains the entire agreement between HydroCision and PROCEPT, and supersedes any and all prior negotiations, conversations, correspondence, understandings, and letters respecting the subject matter hereof. This Agreement may be amended or modified or one or more provisions hereof waived only by a written instrument signed by the Parties. No delay or omission by any party in exercising any right or power arising from any default by the other Party shall be construed as a waiver of such default, nor shall any single or partial exercise thereof preclude any further exercise thereof or the exercise of any other right or power arising from any default by a Party. No waiver of any breach of any covenant or other condition shall be construed to be a waiver of or consent to any previous or subsequent breach of the same or of any other covenant or condition.</w:t>
      </w:r>
    </w:p>
    <w:p>
      <w:pPr>
        <w:spacing w:after="0" w:line="148" w:lineRule="exact"/>
        <w:rPr>
          <w:sz w:val="20"/>
          <w:szCs w:val="20"/>
          <w:color w:val="auto"/>
        </w:rPr>
      </w:pPr>
    </w:p>
    <w:p>
      <w:pPr>
        <w:jc w:val="both"/>
        <w:ind w:left="80" w:firstLine="542"/>
        <w:spacing w:after="0" w:line="226" w:lineRule="auto"/>
        <w:rPr>
          <w:sz w:val="20"/>
          <w:szCs w:val="20"/>
          <w:color w:val="auto"/>
        </w:rPr>
      </w:pPr>
      <w:r>
        <w:rPr>
          <w:rFonts w:ascii="Arial" w:cs="Arial" w:eastAsia="Arial" w:hAnsi="Arial"/>
          <w:sz w:val="20"/>
          <w:szCs w:val="20"/>
          <w:b w:val="1"/>
          <w:bCs w:val="1"/>
          <w:color w:val="auto"/>
        </w:rPr>
        <w:t>9.3 Severability and Captions</w:t>
      </w:r>
      <w:r>
        <w:rPr>
          <w:rFonts w:ascii="Arial" w:cs="Arial" w:eastAsia="Arial" w:hAnsi="Arial"/>
          <w:sz w:val="20"/>
          <w:szCs w:val="20"/>
          <w:color w:val="auto"/>
        </w:rPr>
        <w:t>. If one or more provisions of this Agreement are held to be invalid or unenforceable under</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 such provision shall be excluded from this Agreement, and the balance of the Agreement shall be interpreted as if such provision were so excluded. In the event a part or provision of this Agreement is held to be invalid or unenforceable or in conflict with law for any reason, the Parties shall replace any invalid part or provision with a valid provision which most closely approximates the intent and economic effect of the invalid provision. The captions to this Agreement are for convenience only and are to be of no force or effect in construing and interpreting the provisions of this Agreement.</w:t>
      </w:r>
    </w:p>
    <w:p>
      <w:pPr>
        <w:sectPr>
          <w:pgSz w:w="11900" w:h="16838" w:orient="portrait"/>
          <w:cols w:equalWidth="0" w:num="1">
            <w:col w:w="11240"/>
          </w:cols>
          <w:pgMar w:left="320" w:top="1343" w:right="339" w:bottom="1440" w:gutter="0" w:footer="0" w:header="0"/>
        </w:sectPr>
      </w:pPr>
    </w:p>
    <w:bookmarkStart w:id="146" w:name="page147"/>
    <w:bookmarkEnd w:id="146"/>
    <w:p>
      <w:pPr>
        <w:jc w:val="both"/>
        <w:ind w:firstLine="542"/>
        <w:spacing w:after="0" w:line="236" w:lineRule="auto"/>
        <w:rPr>
          <w:sz w:val="20"/>
          <w:szCs w:val="20"/>
          <w:color w:val="auto"/>
        </w:rPr>
      </w:pPr>
      <w:r>
        <w:rPr>
          <w:rFonts w:ascii="Arial" w:cs="Arial" w:eastAsia="Arial" w:hAnsi="Arial"/>
          <w:sz w:val="21"/>
          <w:szCs w:val="21"/>
          <w:b w:val="1"/>
          <w:bCs w:val="1"/>
          <w:color w:val="auto"/>
        </w:rPr>
        <w:t>9.4 Governing Law and Forum</w:t>
      </w:r>
      <w:r>
        <w:rPr>
          <w:rFonts w:ascii="Arial" w:cs="Arial" w:eastAsia="Arial" w:hAnsi="Arial"/>
          <w:sz w:val="21"/>
          <w:szCs w:val="21"/>
          <w:color w:val="auto"/>
        </w:rPr>
        <w:t>. This Agreement shall be governed by and construed under applicable federal law and the</w:t>
      </w:r>
      <w:r>
        <w:rPr>
          <w:rFonts w:ascii="Arial" w:cs="Arial" w:eastAsia="Arial" w:hAnsi="Arial"/>
          <w:sz w:val="21"/>
          <w:szCs w:val="21"/>
          <w:b w:val="1"/>
          <w:bCs w:val="1"/>
          <w:color w:val="auto"/>
        </w:rPr>
        <w:t xml:space="preserve"> </w:t>
      </w:r>
      <w:r>
        <w:rPr>
          <w:rFonts w:ascii="Arial" w:cs="Arial" w:eastAsia="Arial" w:hAnsi="Arial"/>
          <w:sz w:val="21"/>
          <w:szCs w:val="21"/>
          <w:color w:val="auto"/>
        </w:rPr>
        <w:t>laws of the State of Delaware, excluding any conflict of law provisions.</w:t>
      </w:r>
    </w:p>
    <w:p>
      <w:pPr>
        <w:spacing w:after="0" w:line="144" w:lineRule="exact"/>
        <w:rPr>
          <w:sz w:val="20"/>
          <w:szCs w:val="20"/>
          <w:color w:val="auto"/>
        </w:rPr>
      </w:pPr>
    </w:p>
    <w:p>
      <w:pPr>
        <w:jc w:val="both"/>
        <w:ind w:firstLine="542"/>
        <w:spacing w:after="0" w:line="236" w:lineRule="auto"/>
        <w:rPr>
          <w:sz w:val="20"/>
          <w:szCs w:val="20"/>
          <w:color w:val="auto"/>
        </w:rPr>
      </w:pPr>
      <w:r>
        <w:rPr>
          <w:rFonts w:ascii="Arial" w:cs="Arial" w:eastAsia="Arial" w:hAnsi="Arial"/>
          <w:sz w:val="21"/>
          <w:szCs w:val="21"/>
          <w:b w:val="1"/>
          <w:bCs w:val="1"/>
          <w:color w:val="auto"/>
        </w:rPr>
        <w:t>9.5 Notices</w:t>
      </w:r>
      <w:r>
        <w:rPr>
          <w:rFonts w:ascii="Arial" w:cs="Arial" w:eastAsia="Arial" w:hAnsi="Arial"/>
          <w:sz w:val="21"/>
          <w:szCs w:val="21"/>
          <w:color w:val="auto"/>
        </w:rPr>
        <w:t>. Any notice required or permitted under this Agreement shall be given in writing and shall be sent via electronic</w:t>
      </w:r>
      <w:r>
        <w:rPr>
          <w:rFonts w:ascii="Arial" w:cs="Arial" w:eastAsia="Arial" w:hAnsi="Arial"/>
          <w:sz w:val="21"/>
          <w:szCs w:val="21"/>
          <w:b w:val="1"/>
          <w:bCs w:val="1"/>
          <w:color w:val="auto"/>
        </w:rPr>
        <w:t xml:space="preserve"> </w:t>
      </w:r>
      <w:r>
        <w:rPr>
          <w:rFonts w:ascii="Arial" w:cs="Arial" w:eastAsia="Arial" w:hAnsi="Arial"/>
          <w:sz w:val="21"/>
          <w:szCs w:val="21"/>
          <w:color w:val="auto"/>
        </w:rPr>
        <w:t>mail and overnight carrier to the addresses indicated in the opening paragraph of this Agreement above.</w:t>
      </w:r>
    </w:p>
    <w:p>
      <w:pPr>
        <w:spacing w:after="0" w:line="144" w:lineRule="exact"/>
        <w:rPr>
          <w:sz w:val="20"/>
          <w:szCs w:val="20"/>
          <w:color w:val="auto"/>
        </w:rPr>
      </w:pPr>
    </w:p>
    <w:p>
      <w:pPr>
        <w:jc w:val="both"/>
        <w:ind w:firstLine="542"/>
        <w:spacing w:after="0" w:line="220" w:lineRule="auto"/>
        <w:rPr>
          <w:sz w:val="20"/>
          <w:szCs w:val="20"/>
          <w:color w:val="auto"/>
        </w:rPr>
      </w:pPr>
      <w:r>
        <w:rPr>
          <w:rFonts w:ascii="Arial" w:cs="Arial" w:eastAsia="Arial" w:hAnsi="Arial"/>
          <w:sz w:val="21"/>
          <w:szCs w:val="21"/>
          <w:b w:val="1"/>
          <w:bCs w:val="1"/>
          <w:color w:val="auto"/>
        </w:rPr>
        <w:t>9.6 No Third Party Beneficiaries</w:t>
      </w:r>
      <w:r>
        <w:rPr>
          <w:rFonts w:ascii="Arial" w:cs="Arial" w:eastAsia="Arial" w:hAnsi="Arial"/>
          <w:sz w:val="21"/>
          <w:szCs w:val="21"/>
          <w:color w:val="auto"/>
        </w:rPr>
        <w:t>. Except as expressly set forth herein, nothing in this Agreement shall be construed to give</w:t>
      </w:r>
      <w:r>
        <w:rPr>
          <w:rFonts w:ascii="Arial" w:cs="Arial" w:eastAsia="Arial" w:hAnsi="Arial"/>
          <w:sz w:val="21"/>
          <w:szCs w:val="21"/>
          <w:b w:val="1"/>
          <w:bCs w:val="1"/>
          <w:color w:val="auto"/>
        </w:rPr>
        <w:t xml:space="preserve"> </w:t>
      </w:r>
      <w:r>
        <w:rPr>
          <w:rFonts w:ascii="Arial" w:cs="Arial" w:eastAsia="Arial" w:hAnsi="Arial"/>
          <w:sz w:val="21"/>
          <w:szCs w:val="21"/>
          <w:color w:val="auto"/>
        </w:rPr>
        <w:t>rise to any obligation on either Party hereto for the benefit of a third party. Notwithstanding any other provision in this Agreement that may be read to the contrary, this Agreement does not confer on any person other than HydroCision or PROCEPT any right to bring an action based upon an alleged breach of this Agreement.</w:t>
      </w:r>
    </w:p>
    <w:p>
      <w:pPr>
        <w:spacing w:after="0" w:line="146" w:lineRule="exact"/>
        <w:rPr>
          <w:sz w:val="20"/>
          <w:szCs w:val="20"/>
          <w:color w:val="auto"/>
        </w:rPr>
      </w:pPr>
    </w:p>
    <w:p>
      <w:pPr>
        <w:jc w:val="both"/>
        <w:ind w:firstLine="542"/>
        <w:spacing w:after="0" w:line="226" w:lineRule="auto"/>
        <w:rPr>
          <w:sz w:val="20"/>
          <w:szCs w:val="20"/>
          <w:color w:val="auto"/>
        </w:rPr>
      </w:pPr>
      <w:r>
        <w:rPr>
          <w:rFonts w:ascii="Arial" w:cs="Arial" w:eastAsia="Arial" w:hAnsi="Arial"/>
          <w:sz w:val="20"/>
          <w:szCs w:val="20"/>
          <w:b w:val="1"/>
          <w:bCs w:val="1"/>
          <w:color w:val="auto"/>
        </w:rPr>
        <w:t>9.7 Assignment and Change of Control</w:t>
      </w:r>
      <w:r>
        <w:rPr>
          <w:rFonts w:ascii="Arial" w:cs="Arial" w:eastAsia="Arial" w:hAnsi="Arial"/>
          <w:sz w:val="20"/>
          <w:szCs w:val="20"/>
          <w:color w:val="auto"/>
        </w:rPr>
        <w:t>. PROCEPT may assign all of its rights or obligations under this Agreement to any</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 without HydroCision’s consent. PROCEPT may also assign all of its rights or obligations under this Agreement to any other person, business or entity pursuant to a merger, a sale of all or substantially all of PROCEPT’s business assets to which this Agreement relates, or a corporate reorganization. The licenses and covenants set forth in this Agreement shall be binding in accordance with its terms on any Third Party successor-in-interest to HydroCision in connection with a merger, sale, or reorganization of HydroCision, or a sale of all or substantially all of HydroCision’s assets to which this Agreement relates. .</w:t>
      </w:r>
    </w:p>
    <w:p>
      <w:pPr>
        <w:spacing w:after="0" w:line="145" w:lineRule="exact"/>
        <w:rPr>
          <w:sz w:val="20"/>
          <w:szCs w:val="20"/>
          <w:color w:val="auto"/>
        </w:rPr>
      </w:pPr>
    </w:p>
    <w:p>
      <w:pPr>
        <w:jc w:val="both"/>
        <w:ind w:firstLine="542"/>
        <w:spacing w:after="0" w:line="226" w:lineRule="auto"/>
        <w:rPr>
          <w:sz w:val="20"/>
          <w:szCs w:val="20"/>
          <w:color w:val="auto"/>
        </w:rPr>
      </w:pPr>
      <w:r>
        <w:rPr>
          <w:rFonts w:ascii="Arial" w:cs="Arial" w:eastAsia="Arial" w:hAnsi="Arial"/>
          <w:sz w:val="21"/>
          <w:szCs w:val="21"/>
          <w:b w:val="1"/>
          <w:bCs w:val="1"/>
          <w:color w:val="auto"/>
        </w:rPr>
        <w:t>9.8 Counterparts</w:t>
      </w:r>
      <w:r>
        <w:rPr>
          <w:rFonts w:ascii="Arial" w:cs="Arial" w:eastAsia="Arial" w:hAnsi="Arial"/>
          <w:sz w:val="21"/>
          <w:szCs w:val="21"/>
          <w:color w:val="auto"/>
        </w:rPr>
        <w:t>. This Agreement may be executed in counterparts, and such counterparts may be exchanged via</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 transmission. Each such counterpart shall be deemed an original, and all of which taken together shall be deemed a single document.</w:t>
      </w:r>
    </w:p>
    <w:p>
      <w:pPr>
        <w:spacing w:after="0" w:line="143" w:lineRule="exact"/>
        <w:rPr>
          <w:sz w:val="20"/>
          <w:szCs w:val="20"/>
          <w:color w:val="auto"/>
        </w:rPr>
      </w:pPr>
    </w:p>
    <w:p>
      <w:pPr>
        <w:jc w:val="center"/>
        <w:ind w:left="520"/>
        <w:spacing w:after="0"/>
        <w:rPr>
          <w:sz w:val="20"/>
          <w:szCs w:val="20"/>
          <w:color w:val="auto"/>
        </w:rPr>
      </w:pPr>
      <w:r>
        <w:rPr>
          <w:rFonts w:ascii="Arial" w:cs="Arial" w:eastAsia="Arial" w:hAnsi="Arial"/>
          <w:sz w:val="21"/>
          <w:szCs w:val="21"/>
          <w:b w:val="1"/>
          <w:bCs w:val="1"/>
          <w:color w:val="auto"/>
        </w:rPr>
        <w:t>[Signatures on Next Page]</w:t>
      </w:r>
    </w:p>
    <w:p>
      <w:pPr>
        <w:sectPr>
          <w:pgSz w:w="11900" w:h="16838" w:orient="portrait"/>
          <w:cols w:equalWidth="0" w:num="1">
            <w:col w:w="11160"/>
          </w:cols>
          <w:pgMar w:left="400" w:top="1337" w:right="339" w:bottom="1440" w:gutter="0" w:footer="0" w:header="0"/>
        </w:sectPr>
      </w:pPr>
    </w:p>
    <w:bookmarkStart w:id="147" w:name="page148"/>
    <w:bookmarkEnd w:id="147"/>
    <w:p>
      <w:pPr>
        <w:ind w:left="460"/>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executed this Agreement on the dates set forth below.</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gridSpan w:val="8"/>
          </w:tcPr>
          <w:p>
            <w:pPr>
              <w:spacing w:after="0"/>
              <w:rPr>
                <w:sz w:val="20"/>
                <w:szCs w:val="20"/>
                <w:color w:val="auto"/>
              </w:rPr>
            </w:pPr>
            <w:r>
              <w:rPr>
                <w:rFonts w:ascii="Arial" w:cs="Arial" w:eastAsia="Arial" w:hAnsi="Arial"/>
                <w:sz w:val="21"/>
                <w:szCs w:val="21"/>
                <w:b w:val="1"/>
                <w:bCs w:val="1"/>
                <w:color w:val="auto"/>
              </w:rPr>
              <w:t>HydroCision, Inc.</w:t>
            </w:r>
          </w:p>
        </w:tc>
        <w:tc>
          <w:tcPr>
            <w:tcW w:w="5560" w:type="dxa"/>
            <w:vAlign w:val="bottom"/>
            <w:gridSpan w:val="8"/>
          </w:tcPr>
          <w:p>
            <w:pPr>
              <w:ind w:left="2300"/>
              <w:spacing w:after="0"/>
              <w:rPr>
                <w:sz w:val="20"/>
                <w:szCs w:val="20"/>
                <w:color w:val="auto"/>
              </w:rPr>
            </w:pPr>
            <w:r>
              <w:rPr>
                <w:rFonts w:ascii="Arial" w:cs="Arial" w:eastAsia="Arial" w:hAnsi="Arial"/>
                <w:sz w:val="21"/>
                <w:szCs w:val="21"/>
                <w:b w:val="1"/>
                <w:bCs w:val="1"/>
                <w:color w:val="auto"/>
                <w:w w:val="90"/>
              </w:rPr>
              <w:t>PROCEPT BioRobotics Corporation</w:t>
            </w:r>
          </w:p>
        </w:tc>
      </w:tr>
      <w:tr>
        <w:trPr>
          <w:trHeight w:val="570"/>
        </w:trPr>
        <w:tc>
          <w:tcPr>
            <w:tcW w:w="3260" w:type="dxa"/>
            <w:vAlign w:val="bottom"/>
            <w:gridSpan w:val="8"/>
          </w:tcPr>
          <w:p>
            <w:pPr>
              <w:spacing w:after="0"/>
              <w:rPr>
                <w:sz w:val="20"/>
                <w:szCs w:val="20"/>
                <w:color w:val="auto"/>
              </w:rPr>
            </w:pPr>
            <w:r>
              <w:rPr>
                <w:rFonts w:ascii="Arial" w:cs="Arial" w:eastAsia="Arial" w:hAnsi="Arial"/>
                <w:sz w:val="21"/>
                <w:szCs w:val="21"/>
                <w:color w:val="auto"/>
              </w:rPr>
              <w:t>By: /s/ Alain Tranchemontagne</w:t>
            </w:r>
          </w:p>
        </w:tc>
        <w:tc>
          <w:tcPr>
            <w:tcW w:w="5560" w:type="dxa"/>
            <w:vAlign w:val="bottom"/>
            <w:gridSpan w:val="8"/>
          </w:tcPr>
          <w:p>
            <w:pPr>
              <w:ind w:left="2300"/>
              <w:spacing w:after="0"/>
              <w:rPr>
                <w:sz w:val="20"/>
                <w:szCs w:val="20"/>
                <w:color w:val="auto"/>
              </w:rPr>
            </w:pPr>
            <w:r>
              <w:rPr>
                <w:rFonts w:ascii="Arial" w:cs="Arial" w:eastAsia="Arial" w:hAnsi="Arial"/>
                <w:sz w:val="21"/>
                <w:szCs w:val="21"/>
                <w:color w:val="auto"/>
              </w:rPr>
              <w:t>By: /s/ Nikolai Aljuri</w:t>
            </w:r>
          </w:p>
        </w:tc>
      </w:tr>
      <w:tr>
        <w:trPr>
          <w:trHeight w:val="20"/>
        </w:trPr>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93"/>
        </w:trPr>
        <w:tc>
          <w:tcPr>
            <w:tcW w:w="3260" w:type="dxa"/>
            <w:vAlign w:val="bottom"/>
            <w:gridSpan w:val="8"/>
          </w:tcPr>
          <w:p>
            <w:pPr>
              <w:spacing w:after="0"/>
              <w:rPr>
                <w:sz w:val="20"/>
                <w:szCs w:val="20"/>
                <w:color w:val="auto"/>
              </w:rPr>
            </w:pPr>
            <w:r>
              <w:rPr>
                <w:rFonts w:ascii="Arial" w:cs="Arial" w:eastAsia="Arial" w:hAnsi="Arial"/>
                <w:sz w:val="21"/>
                <w:szCs w:val="21"/>
                <w:color w:val="auto"/>
                <w:w w:val="95"/>
              </w:rPr>
              <w:t>Print Name: Alain Tranchemontagne</w:t>
            </w:r>
          </w:p>
        </w:tc>
        <w:tc>
          <w:tcPr>
            <w:tcW w:w="5560" w:type="dxa"/>
            <w:vAlign w:val="bottom"/>
            <w:gridSpan w:val="8"/>
          </w:tcPr>
          <w:p>
            <w:pPr>
              <w:ind w:left="2300"/>
              <w:spacing w:after="0"/>
              <w:rPr>
                <w:sz w:val="20"/>
                <w:szCs w:val="20"/>
                <w:color w:val="auto"/>
              </w:rPr>
            </w:pPr>
            <w:r>
              <w:rPr>
                <w:rFonts w:ascii="Arial" w:cs="Arial" w:eastAsia="Arial" w:hAnsi="Arial"/>
                <w:sz w:val="21"/>
                <w:szCs w:val="21"/>
                <w:color w:val="auto"/>
              </w:rPr>
              <w:t>Print Name: Nikolai Aljuri, Ph.D</w:t>
            </w:r>
          </w:p>
        </w:tc>
      </w:tr>
      <w:tr>
        <w:trPr>
          <w:trHeight w:val="393"/>
        </w:trPr>
        <w:tc>
          <w:tcPr>
            <w:tcW w:w="3040" w:type="dxa"/>
            <w:vAlign w:val="bottom"/>
            <w:gridSpan w:val="7"/>
          </w:tcPr>
          <w:p>
            <w:pPr>
              <w:spacing w:after="0"/>
              <w:rPr>
                <w:sz w:val="20"/>
                <w:szCs w:val="20"/>
                <w:color w:val="auto"/>
              </w:rPr>
            </w:pPr>
            <w:r>
              <w:rPr>
                <w:rFonts w:ascii="Arial" w:cs="Arial" w:eastAsia="Arial" w:hAnsi="Arial"/>
                <w:sz w:val="21"/>
                <w:szCs w:val="21"/>
                <w:color w:val="auto"/>
              </w:rPr>
              <w:t>Title: Chief Executive Officer</w:t>
            </w:r>
          </w:p>
        </w:tc>
        <w:tc>
          <w:tcPr>
            <w:tcW w:w="220" w:type="dxa"/>
            <w:vAlign w:val="bottom"/>
            <w:tcBorders>
              <w:top w:val="single" w:sz="8" w:color="auto"/>
            </w:tcBorders>
          </w:tcPr>
          <w:p>
            <w:pPr>
              <w:spacing w:after="0"/>
              <w:rPr>
                <w:sz w:val="24"/>
                <w:szCs w:val="24"/>
                <w:color w:val="auto"/>
              </w:rPr>
            </w:pPr>
          </w:p>
        </w:tc>
        <w:tc>
          <w:tcPr>
            <w:tcW w:w="5040" w:type="dxa"/>
            <w:vAlign w:val="bottom"/>
            <w:gridSpan w:val="6"/>
          </w:tcPr>
          <w:p>
            <w:pPr>
              <w:ind w:left="2300"/>
              <w:spacing w:after="0"/>
              <w:rPr>
                <w:sz w:val="20"/>
                <w:szCs w:val="20"/>
                <w:color w:val="auto"/>
              </w:rPr>
            </w:pPr>
            <w:r>
              <w:rPr>
                <w:rFonts w:ascii="Arial" w:cs="Arial" w:eastAsia="Arial" w:hAnsi="Arial"/>
                <w:sz w:val="21"/>
                <w:szCs w:val="21"/>
                <w:color w:val="auto"/>
              </w:rPr>
              <w:t>Title: Chief Executive Officer</w:t>
            </w:r>
          </w:p>
        </w:tc>
        <w:tc>
          <w:tcPr>
            <w:tcW w:w="2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r>
      <w:tr>
        <w:trPr>
          <w:trHeight w:val="393"/>
        </w:trPr>
        <w:tc>
          <w:tcPr>
            <w:tcW w:w="1820" w:type="dxa"/>
            <w:vAlign w:val="bottom"/>
          </w:tcPr>
          <w:p>
            <w:pPr>
              <w:spacing w:after="0"/>
              <w:rPr>
                <w:sz w:val="20"/>
                <w:szCs w:val="20"/>
                <w:color w:val="auto"/>
              </w:rPr>
            </w:pPr>
            <w:r>
              <w:rPr>
                <w:rFonts w:ascii="Arial" w:cs="Arial" w:eastAsia="Arial" w:hAnsi="Arial"/>
                <w:sz w:val="21"/>
                <w:szCs w:val="21"/>
                <w:color w:val="auto"/>
                <w:w w:val="89"/>
              </w:rPr>
              <w:t>Date: March 14, 2019</w:t>
            </w:r>
          </w:p>
        </w:tc>
        <w:tc>
          <w:tcPr>
            <w:tcW w:w="2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Borders>
              <w:top w:val="single" w:sz="8" w:color="auto"/>
            </w:tcBorders>
            <w:gridSpan w:val="2"/>
          </w:tcPr>
          <w:p>
            <w:pPr>
              <w:spacing w:after="0"/>
              <w:rPr>
                <w:sz w:val="24"/>
                <w:szCs w:val="24"/>
                <w:color w:val="auto"/>
              </w:rPr>
            </w:pPr>
          </w:p>
        </w:tc>
        <w:tc>
          <w:tcPr>
            <w:tcW w:w="580" w:type="dxa"/>
            <w:vAlign w:val="bottom"/>
            <w:gridSpan w:val="3"/>
          </w:tcPr>
          <w:p>
            <w:pPr>
              <w:spacing w:after="0"/>
              <w:rPr>
                <w:sz w:val="24"/>
                <w:szCs w:val="24"/>
                <w:color w:val="auto"/>
              </w:rPr>
            </w:pPr>
          </w:p>
        </w:tc>
        <w:tc>
          <w:tcPr>
            <w:tcW w:w="4120" w:type="dxa"/>
            <w:vAlign w:val="bottom"/>
          </w:tcPr>
          <w:p>
            <w:pPr>
              <w:ind w:left="2300"/>
              <w:spacing w:after="0"/>
              <w:rPr>
                <w:sz w:val="20"/>
                <w:szCs w:val="20"/>
                <w:color w:val="auto"/>
              </w:rPr>
            </w:pPr>
            <w:r>
              <w:rPr>
                <w:rFonts w:ascii="Arial" w:cs="Arial" w:eastAsia="Arial" w:hAnsi="Arial"/>
                <w:sz w:val="21"/>
                <w:szCs w:val="21"/>
                <w:color w:val="auto"/>
                <w:w w:val="88"/>
              </w:rPr>
              <w:t>Date: March 14, 2019</w:t>
            </w:r>
          </w:p>
        </w:tc>
        <w:tc>
          <w:tcPr>
            <w:tcW w:w="200" w:type="dxa"/>
            <w:vAlign w:val="bottom"/>
            <w:tcBorders>
              <w:bottom w:val="single" w:sz="8" w:color="auto"/>
            </w:tcBorders>
            <w:gridSpan w:val="2"/>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gridSpan w:val="3"/>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899"/>
        <w:spacing w:after="0"/>
        <w:rPr>
          <w:sz w:val="20"/>
          <w:szCs w:val="20"/>
          <w:color w:val="auto"/>
        </w:rPr>
      </w:pPr>
      <w:r>
        <w:rPr>
          <w:rFonts w:ascii="Arial" w:cs="Arial" w:eastAsia="Arial" w:hAnsi="Arial"/>
          <w:sz w:val="21"/>
          <w:szCs w:val="21"/>
          <w:color w:val="auto"/>
        </w:rPr>
        <w:t>[Signature Page to the Confidential Exclusive Patent License and Covenant Not to Sue]</w:t>
      </w:r>
    </w:p>
    <w:p>
      <w:pPr>
        <w:sectPr>
          <w:pgSz w:w="11900" w:h="16838" w:orient="portrait"/>
          <w:cols w:equalWidth="0" w:num="1">
            <w:col w:w="9979"/>
          </w:cols>
          <w:pgMar w:left="480" w:top="1337" w:right="1440" w:bottom="1440" w:gutter="0" w:footer="0" w:header="0"/>
        </w:sectPr>
      </w:pPr>
    </w:p>
    <w:bookmarkStart w:id="148" w:name="page149"/>
    <w:bookmarkEnd w:id="148"/>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CONSENT OF INDEPENDENT REGISTERED PUBLIC ACCOUNTING FIRM</w:t>
      </w:r>
    </w:p>
    <w:p>
      <w:pPr>
        <w:spacing w:after="0" w:line="385" w:lineRule="exact"/>
        <w:rPr>
          <w:sz w:val="20"/>
          <w:szCs w:val="20"/>
          <w:color w:val="auto"/>
        </w:rPr>
      </w:pPr>
    </w:p>
    <w:p>
      <w:pPr>
        <w:ind w:right="280"/>
        <w:spacing w:after="0" w:line="250"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333-259586 and 333-264758) of PROCEPT BioRobotics Corporation of our report dated February 28, 2023 relating to the financial statements and the effectiveness of internal control over financial reporting, which appears in this Form 10-K.</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21" w:lineRule="auto"/>
        <w:rPr>
          <w:sz w:val="20"/>
          <w:szCs w:val="20"/>
          <w:color w:val="auto"/>
        </w:rPr>
      </w:pPr>
      <w:r>
        <w:rPr>
          <w:rFonts w:ascii="Arial" w:cs="Arial" w:eastAsia="Arial" w:hAnsi="Arial"/>
          <w:sz w:val="17"/>
          <w:szCs w:val="17"/>
          <w:color w:val="auto"/>
        </w:rPr>
        <w:t>San Jose, California</w:t>
      </w:r>
    </w:p>
    <w:p>
      <w:pPr>
        <w:spacing w:after="0"/>
        <w:rPr>
          <w:sz w:val="20"/>
          <w:szCs w:val="20"/>
          <w:color w:val="auto"/>
        </w:rPr>
      </w:pPr>
      <w:r>
        <w:rPr>
          <w:rFonts w:ascii="Arial" w:cs="Arial" w:eastAsia="Arial" w:hAnsi="Arial"/>
          <w:sz w:val="17"/>
          <w:szCs w:val="17"/>
          <w:color w:val="auto"/>
        </w:rPr>
        <w:t>February 28, 2023</w:t>
      </w:r>
    </w:p>
    <w:p>
      <w:pPr>
        <w:sectPr>
          <w:pgSz w:w="11900" w:h="16838" w:orient="portrait"/>
          <w:cols w:equalWidth="0" w:num="1">
            <w:col w:w="11240"/>
          </w:cols>
          <w:pgMar w:left="320" w:top="110"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31.1</w:t>
      </w:r>
    </w:p>
    <w:p>
      <w:pPr>
        <w:spacing w:after="0" w:line="346"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28"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Reza Zadno, Ph.D., certify that:</w:t>
      </w:r>
    </w:p>
    <w:p>
      <w:pPr>
        <w:spacing w:after="0" w:line="243" w:lineRule="exact"/>
        <w:rPr>
          <w:sz w:val="20"/>
          <w:szCs w:val="20"/>
          <w:color w:val="auto"/>
        </w:rPr>
      </w:pPr>
    </w:p>
    <w:p>
      <w:pPr>
        <w:ind w:left="420" w:hanging="417"/>
        <w:spacing w:after="0"/>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PROCEPT BioRobotics Corporation;</w:t>
      </w:r>
    </w:p>
    <w:p>
      <w:pPr>
        <w:spacing w:after="0" w:line="242" w:lineRule="exact"/>
        <w:rPr>
          <w:rFonts w:ascii="Arial" w:cs="Arial" w:eastAsia="Arial" w:hAnsi="Arial"/>
          <w:sz w:val="17"/>
          <w:szCs w:val="17"/>
          <w:color w:val="auto"/>
        </w:rPr>
      </w:pPr>
    </w:p>
    <w:p>
      <w:pPr>
        <w:ind w:left="420" w:right="60" w:hanging="417"/>
        <w:spacing w:after="0" w:line="367" w:lineRule="auto"/>
        <w:tabs>
          <w:tab w:leader="none" w:pos="411" w:val="left"/>
        </w:tabs>
        <w:numPr>
          <w:ilvl w:val="0"/>
          <w:numId w:val="9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420" w:right="160" w:hanging="417"/>
        <w:spacing w:after="0" w:line="311" w:lineRule="auto"/>
        <w:tabs>
          <w:tab w:leader="none" w:pos="4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420" w:right="120" w:hanging="417"/>
        <w:spacing w:after="0" w:line="290" w:lineRule="auto"/>
        <w:tabs>
          <w:tab w:leader="none" w:pos="411"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840" w:right="220" w:hanging="416"/>
        <w:spacing w:after="0" w:line="290" w:lineRule="auto"/>
        <w:tabs>
          <w:tab w:leader="none" w:pos="781"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840" w:right="20" w:hanging="416"/>
        <w:spacing w:after="0" w:line="290" w:lineRule="auto"/>
        <w:tabs>
          <w:tab w:leader="none" w:pos="791"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840" w:right="80" w:hanging="416"/>
        <w:spacing w:after="0" w:line="311" w:lineRule="auto"/>
        <w:tabs>
          <w:tab w:leader="none" w:pos="781" w:val="left"/>
        </w:tabs>
        <w:numPr>
          <w:ilvl w:val="1"/>
          <w:numId w:val="9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840" w:right="80" w:hanging="416"/>
        <w:spacing w:after="0" w:line="298" w:lineRule="auto"/>
        <w:tabs>
          <w:tab w:leader="none" w:pos="791" w:val="left"/>
        </w:tabs>
        <w:numPr>
          <w:ilvl w:val="1"/>
          <w:numId w:val="9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20" w:right="560" w:hanging="417"/>
        <w:spacing w:after="0" w:line="329" w:lineRule="auto"/>
        <w:tabs>
          <w:tab w:leader="none" w:pos="411"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6"/>
          <w:szCs w:val="16"/>
          <w:color w:val="auto"/>
        </w:rPr>
      </w:pPr>
    </w:p>
    <w:p>
      <w:pPr>
        <w:ind w:left="840" w:hanging="416"/>
        <w:spacing w:after="0" w:line="311" w:lineRule="auto"/>
        <w:tabs>
          <w:tab w:leader="none" w:pos="772"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840" w:right="240" w:hanging="416"/>
        <w:spacing w:after="0" w:line="311" w:lineRule="auto"/>
        <w:tabs>
          <w:tab w:leader="none" w:pos="782" w:val="left"/>
        </w:tabs>
        <w:numPr>
          <w:ilvl w:val="1"/>
          <w:numId w:val="9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20" w:type="dxa"/>
            <w:vAlign w:val="bottom"/>
            <w:vMerge w:val="restart"/>
          </w:tcPr>
          <w:p>
            <w:pPr>
              <w:spacing w:after="0"/>
              <w:rPr>
                <w:sz w:val="20"/>
                <w:szCs w:val="20"/>
                <w:color w:val="auto"/>
              </w:rPr>
            </w:pPr>
            <w:r>
              <w:rPr>
                <w:rFonts w:ascii="Arial" w:cs="Arial" w:eastAsia="Arial" w:hAnsi="Arial"/>
                <w:sz w:val="17"/>
                <w:szCs w:val="17"/>
                <w:color w:val="auto"/>
              </w:rPr>
              <w:t>Date: February 28, 2023</w:t>
            </w:r>
          </w:p>
        </w:tc>
        <w:tc>
          <w:tcPr>
            <w:tcW w:w="6440" w:type="dxa"/>
            <w:vAlign w:val="bottom"/>
            <w:gridSpan w:val="2"/>
          </w:tcPr>
          <w:p>
            <w:pPr>
              <w:ind w:left="156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127"/>
        </w:trPr>
        <w:tc>
          <w:tcPr>
            <w:tcW w:w="322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4520" w:type="dxa"/>
            <w:vAlign w:val="bottom"/>
            <w:vMerge w:val="restart"/>
          </w:tcPr>
          <w:p>
            <w:pPr>
              <w:jc w:val="center"/>
              <w:spacing w:after="0"/>
              <w:rPr>
                <w:sz w:val="20"/>
                <w:szCs w:val="20"/>
                <w:color w:val="auto"/>
              </w:rPr>
            </w:pPr>
            <w:r>
              <w:rPr>
                <w:rFonts w:ascii="Arial" w:cs="Arial" w:eastAsia="Arial" w:hAnsi="Arial"/>
                <w:sz w:val="17"/>
                <w:szCs w:val="17"/>
                <w:color w:val="auto"/>
                <w:w w:val="90"/>
              </w:rPr>
              <w:t>/s/ Reza Zadno</w:t>
            </w:r>
          </w:p>
        </w:tc>
        <w:tc>
          <w:tcPr>
            <w:tcW w:w="0" w:type="dxa"/>
            <w:vAlign w:val="bottom"/>
          </w:tcPr>
          <w:p>
            <w:pPr>
              <w:spacing w:after="0"/>
              <w:rPr>
                <w:sz w:val="1"/>
                <w:szCs w:val="1"/>
                <w:color w:val="auto"/>
              </w:rPr>
            </w:pPr>
          </w:p>
        </w:tc>
      </w:tr>
      <w:tr>
        <w:trPr>
          <w:trHeight w:val="84"/>
        </w:trPr>
        <w:tc>
          <w:tcPr>
            <w:tcW w:w="3220" w:type="dxa"/>
            <w:vAlign w:val="bottom"/>
          </w:tcPr>
          <w:p>
            <w:pPr>
              <w:spacing w:after="0"/>
              <w:rPr>
                <w:sz w:val="6"/>
                <w:szCs w:val="6"/>
                <w:color w:val="auto"/>
              </w:rPr>
            </w:pPr>
          </w:p>
        </w:tc>
        <w:tc>
          <w:tcPr>
            <w:tcW w:w="1920" w:type="dxa"/>
            <w:vAlign w:val="bottom"/>
          </w:tcPr>
          <w:p>
            <w:pPr>
              <w:spacing w:after="0"/>
              <w:rPr>
                <w:sz w:val="6"/>
                <w:szCs w:val="6"/>
                <w:color w:val="auto"/>
              </w:rPr>
            </w:pPr>
          </w:p>
        </w:tc>
        <w:tc>
          <w:tcPr>
            <w:tcW w:w="45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3"/>
              </w:rPr>
              <w:t>Reza Zadno, Ph.D.</w:t>
            </w:r>
          </w:p>
        </w:tc>
        <w:tc>
          <w:tcPr>
            <w:tcW w:w="0" w:type="dxa"/>
            <w:vAlign w:val="bottom"/>
          </w:tcPr>
          <w:p>
            <w:pPr>
              <w:spacing w:after="0"/>
              <w:rPr>
                <w:sz w:val="1"/>
                <w:szCs w:val="1"/>
                <w:color w:val="auto"/>
              </w:rPr>
            </w:pPr>
          </w:p>
        </w:tc>
      </w:tr>
      <w:tr>
        <w:trPr>
          <w:trHeight w:val="278"/>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2"/>
              </w:rPr>
              <w:t>Chief Executive Officer</w:t>
            </w:r>
          </w:p>
        </w:tc>
        <w:tc>
          <w:tcPr>
            <w:tcW w:w="0" w:type="dxa"/>
            <w:vAlign w:val="bottom"/>
          </w:tcPr>
          <w:p>
            <w:pPr>
              <w:spacing w:after="0"/>
              <w:rPr>
                <w:sz w:val="1"/>
                <w:szCs w:val="1"/>
                <w:color w:val="auto"/>
              </w:rPr>
            </w:pP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3"/>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59"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31.2</w:t>
      </w:r>
    </w:p>
    <w:p>
      <w:pPr>
        <w:spacing w:after="0" w:line="346"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CERTIFICATION PURSUANT TO</w:t>
      </w:r>
    </w:p>
    <w:p>
      <w:pPr>
        <w:spacing w:after="0" w:line="37"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RULES 13a-14(a) AND 15d-14(a) UNDER THE SECURITIES EXCHANGE ACT OF 1934,</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I, Kevin Waters, certify that:</w:t>
      </w:r>
    </w:p>
    <w:p>
      <w:pPr>
        <w:spacing w:after="0" w:line="243" w:lineRule="exact"/>
        <w:rPr>
          <w:sz w:val="20"/>
          <w:szCs w:val="20"/>
          <w:color w:val="auto"/>
        </w:rPr>
      </w:pPr>
    </w:p>
    <w:p>
      <w:pPr>
        <w:ind w:left="420" w:hanging="417"/>
        <w:spacing w:after="0"/>
        <w:tabs>
          <w:tab w:leader="none" w:pos="4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PROCEPT BioRobotics Corporation;</w:t>
      </w:r>
    </w:p>
    <w:p>
      <w:pPr>
        <w:spacing w:after="0" w:line="242" w:lineRule="exact"/>
        <w:rPr>
          <w:rFonts w:ascii="Arial" w:cs="Arial" w:eastAsia="Arial" w:hAnsi="Arial"/>
          <w:sz w:val="17"/>
          <w:szCs w:val="17"/>
          <w:color w:val="auto"/>
        </w:rPr>
      </w:pPr>
    </w:p>
    <w:p>
      <w:pPr>
        <w:ind w:left="420" w:right="60" w:hanging="417"/>
        <w:spacing w:after="0" w:line="367" w:lineRule="auto"/>
        <w:tabs>
          <w:tab w:leader="none" w:pos="411" w:val="left"/>
        </w:tabs>
        <w:numPr>
          <w:ilvl w:val="0"/>
          <w:numId w:val="9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420" w:right="160" w:hanging="417"/>
        <w:spacing w:after="0" w:line="311" w:lineRule="auto"/>
        <w:tabs>
          <w:tab w:leader="none" w:pos="411"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7"/>
          <w:szCs w:val="17"/>
          <w:color w:val="auto"/>
        </w:rPr>
      </w:pPr>
    </w:p>
    <w:p>
      <w:pPr>
        <w:ind w:left="420" w:right="120" w:hanging="417"/>
        <w:spacing w:after="0" w:line="290" w:lineRule="auto"/>
        <w:tabs>
          <w:tab w:leader="none" w:pos="411"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0" w:lineRule="exact"/>
        <w:rPr>
          <w:rFonts w:ascii="Arial" w:cs="Arial" w:eastAsia="Arial" w:hAnsi="Arial"/>
          <w:sz w:val="17"/>
          <w:szCs w:val="17"/>
          <w:color w:val="auto"/>
        </w:rPr>
      </w:pPr>
    </w:p>
    <w:p>
      <w:pPr>
        <w:ind w:left="840" w:right="220" w:hanging="416"/>
        <w:spacing w:after="0" w:line="290" w:lineRule="auto"/>
        <w:tabs>
          <w:tab w:leader="none" w:pos="781"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Arial" w:cs="Arial" w:eastAsia="Arial" w:hAnsi="Arial"/>
          <w:sz w:val="17"/>
          <w:szCs w:val="17"/>
          <w:color w:val="auto"/>
        </w:rPr>
      </w:pPr>
    </w:p>
    <w:p>
      <w:pPr>
        <w:ind w:left="840" w:right="20" w:hanging="416"/>
        <w:spacing w:after="0" w:line="290" w:lineRule="auto"/>
        <w:tabs>
          <w:tab w:leader="none" w:pos="791"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7"/>
          <w:szCs w:val="17"/>
          <w:color w:val="auto"/>
        </w:rPr>
      </w:pPr>
    </w:p>
    <w:p>
      <w:pPr>
        <w:ind w:left="840" w:right="80" w:hanging="416"/>
        <w:spacing w:after="0" w:line="311" w:lineRule="auto"/>
        <w:tabs>
          <w:tab w:leader="none" w:pos="781"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840" w:right="80" w:hanging="416"/>
        <w:spacing w:after="0" w:line="298" w:lineRule="auto"/>
        <w:tabs>
          <w:tab w:leader="none" w:pos="791" w:val="left"/>
        </w:tabs>
        <w:numPr>
          <w:ilvl w:val="1"/>
          <w:numId w:val="9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7"/>
          <w:szCs w:val="17"/>
          <w:color w:val="auto"/>
        </w:rPr>
      </w:pPr>
    </w:p>
    <w:p>
      <w:pPr>
        <w:ind w:left="420" w:right="560" w:hanging="417"/>
        <w:spacing w:after="0" w:line="329" w:lineRule="auto"/>
        <w:tabs>
          <w:tab w:leader="none" w:pos="411"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3" w:lineRule="exact"/>
        <w:rPr>
          <w:rFonts w:ascii="Arial" w:cs="Arial" w:eastAsia="Arial" w:hAnsi="Arial"/>
          <w:sz w:val="16"/>
          <w:szCs w:val="16"/>
          <w:color w:val="auto"/>
        </w:rPr>
      </w:pPr>
    </w:p>
    <w:p>
      <w:pPr>
        <w:ind w:left="840" w:hanging="416"/>
        <w:spacing w:after="0" w:line="311" w:lineRule="auto"/>
        <w:tabs>
          <w:tab w:leader="none" w:pos="772"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840" w:right="240" w:hanging="416"/>
        <w:spacing w:after="0" w:line="311" w:lineRule="auto"/>
        <w:tabs>
          <w:tab w:leader="none" w:pos="782"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220" w:type="dxa"/>
            <w:vAlign w:val="bottom"/>
          </w:tcPr>
          <w:p>
            <w:pPr>
              <w:spacing w:after="0"/>
              <w:rPr>
                <w:sz w:val="20"/>
                <w:szCs w:val="20"/>
                <w:color w:val="auto"/>
              </w:rPr>
            </w:pPr>
            <w:r>
              <w:rPr>
                <w:rFonts w:ascii="Arial" w:cs="Arial" w:eastAsia="Arial" w:hAnsi="Arial"/>
                <w:sz w:val="17"/>
                <w:szCs w:val="17"/>
                <w:color w:val="auto"/>
              </w:rPr>
              <w:t>Date: February 28, 2023</w:t>
            </w:r>
          </w:p>
        </w:tc>
        <w:tc>
          <w:tcPr>
            <w:tcW w:w="1920" w:type="dxa"/>
            <w:vAlign w:val="bottom"/>
          </w:tcPr>
          <w:p>
            <w:pPr>
              <w:ind w:left="1560"/>
              <w:spacing w:after="0"/>
              <w:rPr>
                <w:sz w:val="20"/>
                <w:szCs w:val="20"/>
                <w:color w:val="auto"/>
              </w:rPr>
            </w:pPr>
            <w:r>
              <w:rPr>
                <w:rFonts w:ascii="Arial" w:cs="Arial" w:eastAsia="Arial" w:hAnsi="Arial"/>
                <w:sz w:val="17"/>
                <w:szCs w:val="17"/>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2"/>
              </w:rPr>
              <w:t>/s/ Kevin Waters</w:t>
            </w:r>
          </w:p>
        </w:tc>
      </w:tr>
      <w:tr>
        <w:trPr>
          <w:trHeight w:val="217"/>
        </w:trPr>
        <w:tc>
          <w:tcPr>
            <w:tcW w:w="3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2"/>
              </w:rPr>
              <w:t>Kevin Waters</w:t>
            </w:r>
          </w:p>
        </w:tc>
      </w:tr>
      <w:tr>
        <w:trPr>
          <w:trHeight w:val="278"/>
        </w:trPr>
        <w:tc>
          <w:tcPr>
            <w:tcW w:w="3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4"/>
              </w:rPr>
              <w:t>Chief Financial Officer</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4"/>
              </w:rPr>
              <w:t>(Principal Financial Officer and</w:t>
            </w:r>
          </w:p>
        </w:tc>
      </w:tr>
      <w:tr>
        <w:trPr>
          <w:trHeight w:val="232"/>
        </w:trPr>
        <w:tc>
          <w:tcPr>
            <w:tcW w:w="3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7"/>
                <w:szCs w:val="17"/>
                <w:b w:val="1"/>
                <w:bCs w:val="1"/>
                <w:color w:val="auto"/>
                <w:w w:val="92"/>
              </w:rPr>
              <w:t>Principal Accounting Officer)</w:t>
            </w:r>
          </w:p>
        </w:tc>
      </w:tr>
    </w:tbl>
    <w:p>
      <w:pPr>
        <w:sectPr>
          <w:pgSz w:w="11900" w:h="16838" w:orient="portrait"/>
          <w:cols w:equalWidth="0" w:num="1">
            <w:col w:w="11240"/>
          </w:cols>
          <w:pgMar w:left="320" w:top="959" w:right="339" w:bottom="1440" w:gutter="0" w:footer="0" w:header="0"/>
        </w:sectPr>
      </w:pPr>
    </w:p>
    <w:bookmarkStart w:id="152" w:name="page153"/>
    <w:bookmarkEnd w:id="15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b w:val="1"/>
          <w:bCs w:val="1"/>
          <w:color w:val="auto"/>
        </w:rPr>
        <w:t>Exhibit 32.1</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Arial" w:cs="Arial" w:eastAsia="Arial" w:hAnsi="Arial"/>
          <w:sz w:val="17"/>
          <w:szCs w:val="17"/>
          <w:color w:val="auto"/>
        </w:rPr>
        <w:t>In connection with the Annual Report of PROCEPT BioRobotics Corporation (the “Company”) on Form 10-K for the period ending December 31, 2022 as filed with the Securities and Exchange Commission on the date hereof (the “Report”), I certify, pursuant to 18 U.S.C. § 1350, as adopted pursuant to § 906 of the Sarbanes-Oxley Act of 2002, that, to the best of my knowledge:</w:t>
      </w:r>
    </w:p>
    <w:p>
      <w:pPr>
        <w:spacing w:after="0" w:line="205" w:lineRule="exact"/>
        <w:rPr>
          <w:sz w:val="20"/>
          <w:szCs w:val="20"/>
          <w:color w:val="auto"/>
        </w:rPr>
      </w:pPr>
    </w:p>
    <w:p>
      <w:pPr>
        <w:ind w:left="800" w:hanging="376"/>
        <w:spacing w:after="0"/>
        <w:tabs>
          <w:tab w:leader="none" w:pos="8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800" w:hanging="376"/>
        <w:spacing w:after="0"/>
        <w:tabs>
          <w:tab w:leader="none" w:pos="8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Arial" w:cs="Arial" w:eastAsia="Arial" w:hAnsi="Arial"/>
                <w:sz w:val="17"/>
                <w:szCs w:val="17"/>
                <w:color w:val="auto"/>
              </w:rPr>
              <w:t>Date: February 28, 2023</w:t>
            </w:r>
          </w:p>
        </w:tc>
        <w:tc>
          <w:tcPr>
            <w:tcW w:w="7580" w:type="dxa"/>
            <w:vAlign w:val="bottom"/>
            <w:gridSpan w:val="2"/>
          </w:tcPr>
          <w:p>
            <w:pPr>
              <w:ind w:left="194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140"/>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Arial" w:cs="Arial" w:eastAsia="Arial" w:hAnsi="Arial"/>
                <w:sz w:val="17"/>
                <w:szCs w:val="17"/>
                <w:color w:val="auto"/>
                <w:w w:val="88"/>
              </w:rPr>
              <w:t>/s/ Reza Zadno</w:t>
            </w:r>
          </w:p>
        </w:tc>
        <w:tc>
          <w:tcPr>
            <w:tcW w:w="0" w:type="dxa"/>
            <w:vAlign w:val="bottom"/>
          </w:tcPr>
          <w:p>
            <w:pPr>
              <w:spacing w:after="0"/>
              <w:rPr>
                <w:sz w:val="1"/>
                <w:szCs w:val="1"/>
                <w:color w:val="auto"/>
              </w:rPr>
            </w:pPr>
          </w:p>
        </w:tc>
      </w:tr>
      <w:tr>
        <w:trPr>
          <w:trHeight w:val="71"/>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3"/>
              </w:rPr>
              <w:t>Reza Zadno, Ph.D.</w:t>
            </w:r>
          </w:p>
        </w:tc>
        <w:tc>
          <w:tcPr>
            <w:tcW w:w="0" w:type="dxa"/>
            <w:vAlign w:val="bottom"/>
          </w:tcPr>
          <w:p>
            <w:pPr>
              <w:spacing w:after="0"/>
              <w:rPr>
                <w:sz w:val="1"/>
                <w:szCs w:val="1"/>
                <w:color w:val="auto"/>
              </w:rPr>
            </w:pPr>
          </w:p>
        </w:tc>
      </w:tr>
      <w:tr>
        <w:trPr>
          <w:trHeight w:val="291"/>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3"/>
              </w:rPr>
              <w:t>Chief Executive Officer</w:t>
            </w:r>
          </w:p>
        </w:tc>
        <w:tc>
          <w:tcPr>
            <w:tcW w:w="0" w:type="dxa"/>
            <w:vAlign w:val="bottom"/>
          </w:tcPr>
          <w:p>
            <w:pPr>
              <w:spacing w:after="0"/>
              <w:rPr>
                <w:sz w:val="1"/>
                <w:szCs w:val="1"/>
                <w:color w:val="auto"/>
              </w:rPr>
            </w:pPr>
          </w:p>
        </w:tc>
      </w:tr>
      <w:tr>
        <w:trPr>
          <w:trHeight w:val="232"/>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3"/>
              </w:rPr>
              <w:t>(Principal Executive Officer)</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40" w:firstLine="421"/>
        <w:spacing w:after="0" w:line="290" w:lineRule="auto"/>
        <w:rPr>
          <w:sz w:val="20"/>
          <w:szCs w:val="20"/>
          <w:color w:val="auto"/>
        </w:rPr>
      </w:pPr>
      <w:r>
        <w:rPr>
          <w:rFonts w:ascii="Arial" w:cs="Arial" w:eastAsia="Arial" w:hAnsi="Arial"/>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985"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b w:val="1"/>
          <w:bCs w:val="1"/>
          <w:color w:val="auto"/>
        </w:rPr>
        <w:t>Exhibit 32.2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7"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2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4" w:lineRule="exact"/>
        <w:rPr>
          <w:sz w:val="20"/>
          <w:szCs w:val="20"/>
          <w:color w:val="auto"/>
        </w:rPr>
      </w:pPr>
    </w:p>
    <w:p>
      <w:pPr>
        <w:jc w:val="both"/>
        <w:ind w:right="140" w:firstLine="421"/>
        <w:spacing w:after="0" w:line="244" w:lineRule="auto"/>
        <w:rPr>
          <w:sz w:val="20"/>
          <w:szCs w:val="20"/>
          <w:color w:val="auto"/>
        </w:rPr>
      </w:pPr>
      <w:r>
        <w:rPr>
          <w:rFonts w:ascii="Arial" w:cs="Arial" w:eastAsia="Arial" w:hAnsi="Arial"/>
          <w:sz w:val="17"/>
          <w:szCs w:val="17"/>
          <w:color w:val="auto"/>
        </w:rPr>
        <w:t>In connection with the Annual Report of PROCEPT BioRobotics Corporation (the “Company”) on Form 10-K for the period ending December 31, 2022 as filed with the Securities and Exchange Commission on the date hereof (the “Report”), I certify, pursuant to 18 U.S.C. § 1350, as adopted pursuant to § 906 of the Sarbanes-Oxley Act of 2002, that, to the best of my knowledge:</w:t>
      </w:r>
    </w:p>
    <w:p>
      <w:pPr>
        <w:spacing w:after="0" w:line="205" w:lineRule="exact"/>
        <w:rPr>
          <w:sz w:val="20"/>
          <w:szCs w:val="20"/>
          <w:color w:val="auto"/>
        </w:rPr>
      </w:pPr>
    </w:p>
    <w:p>
      <w:pPr>
        <w:ind w:left="800" w:hanging="376"/>
        <w:spacing w:after="0"/>
        <w:tabs>
          <w:tab w:leader="none" w:pos="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800" w:hanging="376"/>
        <w:spacing w:after="0"/>
        <w:tabs>
          <w:tab w:leader="none" w:pos="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640" w:type="dxa"/>
            <w:vAlign w:val="bottom"/>
            <w:vMerge w:val="restart"/>
          </w:tcPr>
          <w:p>
            <w:pPr>
              <w:spacing w:after="0"/>
              <w:rPr>
                <w:sz w:val="20"/>
                <w:szCs w:val="20"/>
                <w:color w:val="auto"/>
              </w:rPr>
            </w:pPr>
            <w:r>
              <w:rPr>
                <w:rFonts w:ascii="Arial" w:cs="Arial" w:eastAsia="Arial" w:hAnsi="Arial"/>
                <w:sz w:val="17"/>
                <w:szCs w:val="17"/>
                <w:color w:val="auto"/>
              </w:rPr>
              <w:t>Date: February 28, 2023</w:t>
            </w:r>
          </w:p>
        </w:tc>
        <w:tc>
          <w:tcPr>
            <w:tcW w:w="7580" w:type="dxa"/>
            <w:vAlign w:val="bottom"/>
            <w:gridSpan w:val="2"/>
          </w:tcPr>
          <w:p>
            <w:pPr>
              <w:ind w:left="1940"/>
              <w:spacing w:after="0"/>
              <w:rPr>
                <w:sz w:val="20"/>
                <w:szCs w:val="20"/>
                <w:color w:val="auto"/>
              </w:rPr>
            </w:pPr>
            <w:r>
              <w:rPr>
                <w:rFonts w:ascii="Arial" w:cs="Arial" w:eastAsia="Arial" w:hAnsi="Arial"/>
                <w:sz w:val="17"/>
                <w:szCs w:val="17"/>
                <w:color w:val="auto"/>
              </w:rPr>
              <w:t>By:</w:t>
            </w:r>
          </w:p>
        </w:tc>
        <w:tc>
          <w:tcPr>
            <w:tcW w:w="0" w:type="dxa"/>
            <w:vAlign w:val="bottom"/>
          </w:tcPr>
          <w:p>
            <w:pPr>
              <w:spacing w:after="0"/>
              <w:rPr>
                <w:sz w:val="1"/>
                <w:szCs w:val="1"/>
                <w:color w:val="auto"/>
              </w:rPr>
            </w:pPr>
          </w:p>
        </w:tc>
      </w:tr>
      <w:tr>
        <w:trPr>
          <w:trHeight w:val="140"/>
        </w:trPr>
        <w:tc>
          <w:tcPr>
            <w:tcW w:w="3640" w:type="dxa"/>
            <w:vAlign w:val="bottom"/>
            <w:vMerge w:val="continue"/>
          </w:tcPr>
          <w:p>
            <w:pPr>
              <w:spacing w:after="0"/>
              <w:rPr>
                <w:sz w:val="12"/>
                <w:szCs w:val="12"/>
                <w:color w:val="auto"/>
              </w:rPr>
            </w:pPr>
          </w:p>
        </w:tc>
        <w:tc>
          <w:tcPr>
            <w:tcW w:w="2360" w:type="dxa"/>
            <w:vAlign w:val="bottom"/>
          </w:tcPr>
          <w:p>
            <w:pPr>
              <w:spacing w:after="0"/>
              <w:rPr>
                <w:sz w:val="12"/>
                <w:szCs w:val="12"/>
                <w:color w:val="auto"/>
              </w:rPr>
            </w:pPr>
          </w:p>
        </w:tc>
        <w:tc>
          <w:tcPr>
            <w:tcW w:w="5220" w:type="dxa"/>
            <w:vAlign w:val="bottom"/>
            <w:vMerge w:val="restart"/>
          </w:tcPr>
          <w:p>
            <w:pPr>
              <w:jc w:val="center"/>
              <w:spacing w:after="0"/>
              <w:rPr>
                <w:sz w:val="20"/>
                <w:szCs w:val="20"/>
                <w:color w:val="auto"/>
              </w:rPr>
            </w:pPr>
            <w:r>
              <w:rPr>
                <w:rFonts w:ascii="Arial" w:cs="Arial" w:eastAsia="Arial" w:hAnsi="Arial"/>
                <w:sz w:val="17"/>
                <w:szCs w:val="17"/>
                <w:color w:val="auto"/>
                <w:w w:val="92"/>
              </w:rPr>
              <w:t>/s/ Kevin Waters</w:t>
            </w:r>
          </w:p>
        </w:tc>
        <w:tc>
          <w:tcPr>
            <w:tcW w:w="0" w:type="dxa"/>
            <w:vAlign w:val="bottom"/>
          </w:tcPr>
          <w:p>
            <w:pPr>
              <w:spacing w:after="0"/>
              <w:rPr>
                <w:sz w:val="1"/>
                <w:szCs w:val="1"/>
                <w:color w:val="auto"/>
              </w:rPr>
            </w:pPr>
          </w:p>
        </w:tc>
      </w:tr>
      <w:tr>
        <w:trPr>
          <w:trHeight w:val="71"/>
        </w:trPr>
        <w:tc>
          <w:tcPr>
            <w:tcW w:w="36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52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4"/>
              </w:rPr>
              <w:t>Kevin Waters</w:t>
            </w:r>
          </w:p>
        </w:tc>
        <w:tc>
          <w:tcPr>
            <w:tcW w:w="0" w:type="dxa"/>
            <w:vAlign w:val="bottom"/>
          </w:tcPr>
          <w:p>
            <w:pPr>
              <w:spacing w:after="0"/>
              <w:rPr>
                <w:sz w:val="1"/>
                <w:szCs w:val="1"/>
                <w:color w:val="auto"/>
              </w:rPr>
            </w:pPr>
          </w:p>
        </w:tc>
      </w:tr>
      <w:tr>
        <w:trPr>
          <w:trHeight w:val="291"/>
        </w:trPr>
        <w:tc>
          <w:tcPr>
            <w:tcW w:w="36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4"/>
              </w:rPr>
              <w:t>Chief Financial Officer</w:t>
            </w: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3"/>
              </w:rPr>
              <w:t>(Principal Financial Officer and</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7"/>
                <w:szCs w:val="17"/>
                <w:b w:val="1"/>
                <w:bCs w:val="1"/>
                <w:color w:val="auto"/>
                <w:w w:val="92"/>
              </w:rPr>
              <w:t>Principal Accounting Officer)</w:t>
            </w:r>
          </w:p>
        </w:tc>
        <w:tc>
          <w:tcPr>
            <w:tcW w:w="0" w:type="dxa"/>
            <w:vAlign w:val="bottom"/>
          </w:tcPr>
          <w:p>
            <w:pPr>
              <w:spacing w:after="0"/>
              <w:rPr>
                <w:sz w:val="1"/>
                <w:szCs w:val="1"/>
                <w:color w:val="auto"/>
              </w:rPr>
            </w:pPr>
          </w:p>
        </w:tc>
      </w:tr>
    </w:tbl>
    <w:p>
      <w:pPr>
        <w:spacing w:after="0" w:line="363" w:lineRule="exact"/>
        <w:rPr>
          <w:sz w:val="20"/>
          <w:szCs w:val="20"/>
          <w:color w:val="auto"/>
        </w:rPr>
      </w:pPr>
    </w:p>
    <w:p>
      <w:pPr>
        <w:ind w:right="40" w:firstLine="421"/>
        <w:spacing w:after="0" w:line="290" w:lineRule="auto"/>
        <w:rPr>
          <w:sz w:val="20"/>
          <w:szCs w:val="20"/>
          <w:color w:val="auto"/>
        </w:rPr>
      </w:pPr>
      <w:r>
        <w:rPr>
          <w:rFonts w:ascii="Arial" w:cs="Arial" w:eastAsia="Arial" w:hAnsi="Arial"/>
          <w:sz w:val="17"/>
          <w:szCs w:val="17"/>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1."/>
      <w:numFmt w:val="decimal"/>
      <w:start w:val="19"/>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
      <w:numFmt w:val="bullet"/>
      <w:start w:val="1"/>
    </w:lvl>
  </w:abstractNum>
  <w:abstractNum w:abstractNumId="63">
    <w:nsid w:val="60B6DF70"/>
    <w:multiLevelType w:val="hybridMultilevel"/>
    <w:lvl w:ilvl="0">
      <w:lvlJc w:val="left"/>
      <w:lvlText w:val="•"/>
      <w:numFmt w:val="bullet"/>
      <w:start w:val="1"/>
    </w:lvl>
  </w:abstractNum>
  <w:abstractNum w:abstractNumId="64">
    <w:nsid w:val="6A5EE64"/>
    <w:multiLevelType w:val="hybridMultilevel"/>
    <w:lvl w:ilvl="0">
      <w:lvlJc w:val="left"/>
      <w:lvlText w:val="(%1)"/>
      <w:numFmt w:val="lowerRoman"/>
      <w:start w:val="5"/>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
      <w:numFmt w:val="bullet"/>
      <w:start w:val="1"/>
    </w:lvl>
  </w:abstractNum>
  <w:abstractNum w:abstractNumId="68">
    <w:nsid w:val="71EA1109"/>
    <w:multiLevelType w:val="hybridMultilevel"/>
    <w:lvl w:ilvl="0">
      <w:lvlJc w:val="left"/>
      <w:lvlText w:val="%1."/>
      <w:numFmt w:val="decimal"/>
      <w:start w:val="8"/>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upperLetter"/>
      <w:start w:val="3"/>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2"/>
    </w:lvl>
  </w:abstractNum>
  <w:abstractNum w:abstractNumId="73">
    <w:nsid w:val="94211F2"/>
    <w:multiLevelType w:val="hybridMultilevel"/>
    <w:lvl w:ilvl="0">
      <w:lvlJc w:val="left"/>
      <w:lvlText w:val="%1"/>
      <w:numFmt w:val="lowerRoman"/>
      <w:start w:val="1"/>
    </w:lvl>
    <w:lvl w:ilvl="1">
      <w:lvlJc w:val="left"/>
      <w:lvlText w:val="%2."/>
      <w:numFmt w:val="decimal"/>
      <w:start w:val="3"/>
    </w:lvl>
  </w:abstractNum>
  <w:abstractNum w:abstractNumId="74">
    <w:nsid w:val="885E1B"/>
    <w:multiLevelType w:val="hybridMultilevel"/>
    <w:lvl w:ilvl="0">
      <w:lvlJc w:val="left"/>
      <w:lvlText w:val="(%1)"/>
      <w:numFmt w:val="lowerRoman"/>
      <w:start w:val="1"/>
    </w:lvl>
    <w:lvl w:ilvl="1">
      <w:lvlJc w:val="left"/>
      <w:lvlText w:val="%2."/>
      <w:numFmt w:val="decimal"/>
      <w:start w:val="6"/>
    </w:lvl>
  </w:abstractNum>
  <w:abstractNum w:abstractNumId="75">
    <w:nsid w:val="76272110"/>
    <w:multiLevelType w:val="hybridMultilevel"/>
    <w:lvl w:ilvl="0">
      <w:lvlJc w:val="left"/>
      <w:lvlText w:val="%1."/>
      <w:numFmt w:val="decimal"/>
      <w:start w:val="8"/>
    </w:lvl>
    <w:lvl w:ilvl="1">
      <w:lvlJc w:val="left"/>
      <w:lvlText w:val="(%2)"/>
      <w:numFmt w:val="lowerLetter"/>
      <w:start w:val="1"/>
    </w:lvl>
  </w:abstractNum>
  <w:abstractNum w:abstractNumId="76">
    <w:nsid w:val="4C04A8AF"/>
    <w:multiLevelType w:val="hybridMultilevel"/>
    <w:lvl w:ilvl="0">
      <w:lvlJc w:val="left"/>
      <w:lvlText w:val="%1."/>
      <w:numFmt w:val="decimal"/>
      <w:start w:val="12"/>
    </w:lvl>
  </w:abstractNum>
  <w:abstractNum w:abstractNumId="77">
    <w:nsid w:val="1716703B"/>
    <w:multiLevelType w:val="hybridMultilevel"/>
    <w:lvl w:ilvl="0">
      <w:lvlJc w:val="left"/>
      <w:lvlText w:val="%1"/>
      <w:numFmt w:val="lowerRoman"/>
      <w:start w:val="1"/>
    </w:lvl>
    <w:lvl w:ilvl="1">
      <w:lvlJc w:val="left"/>
      <w:lvlText w:val="%2."/>
      <w:numFmt w:val="decimal"/>
      <w:start w:val="13"/>
    </w:lvl>
  </w:abstractNum>
  <w:abstractNum w:abstractNumId="78">
    <w:nsid w:val="14E17E33"/>
    <w:multiLevelType w:val="hybridMultilevel"/>
    <w:lvl w:ilvl="0">
      <w:lvlJc w:val="left"/>
      <w:lvlText w:val="(%1)"/>
      <w:numFmt w:val="lowerRoman"/>
      <w:start w:val="3"/>
    </w:lvl>
    <w:lvl w:ilvl="1">
      <w:lvlJc w:val="left"/>
      <w:lvlText w:val="%2."/>
      <w:numFmt w:val="decimal"/>
      <w:start w:val="14"/>
    </w:lvl>
  </w:abstractNum>
  <w:abstractNum w:abstractNumId="79">
    <w:nsid w:val="3222E7CD"/>
    <w:multiLevelType w:val="hybridMultilevel"/>
    <w:lvl w:ilvl="0">
      <w:lvlJc w:val="left"/>
      <w:lvlText w:val="%1."/>
      <w:numFmt w:val="decimal"/>
      <w:start w:val="15"/>
    </w:lvl>
  </w:abstractNum>
  <w:abstractNum w:abstractNumId="80">
    <w:nsid w:val="74DE0EE3"/>
    <w:multiLevelType w:val="hybridMultilevel"/>
    <w:lvl w:ilvl="0">
      <w:lvlJc w:val="left"/>
      <w:lvlText w:val="[***]"/>
      <w:numFmt w:val="bullet"/>
      <w:start w:val="1"/>
    </w:lvl>
  </w:abstractNum>
  <w:abstractNum w:abstractNumId="81">
    <w:nsid w:val="68EBC550"/>
    <w:multiLevelType w:val="hybridMultilevel"/>
    <w:lvl w:ilvl="0">
      <w:lvlJc w:val="left"/>
      <w:lvlText w:val="%1."/>
      <w:numFmt w:val="upperLetter"/>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2"/>
    </w:lvl>
  </w:abstractNum>
  <w:abstractNum w:abstractNumId="84">
    <w:nsid w:val="4A2AC315"/>
    <w:multiLevelType w:val="hybridMultilevel"/>
    <w:lvl w:ilvl="0">
      <w:lvlJc w:val="left"/>
      <w:lvlText w:val="%1."/>
      <w:numFmt w:val="decimal"/>
      <w:start w:val="3"/>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1)"/>
      <w:numFmt w:val="lowerLetter"/>
      <w:start w:val="2"/>
    </w:lvl>
    <w:lvl w:ilvl="1">
      <w:lvlJc w:val="left"/>
      <w:lvlText w:val="(%2)"/>
      <w:numFmt w:val="lowerLetter"/>
      <w:start w:val="9"/>
    </w:lvl>
  </w:abstractNum>
  <w:abstractNum w:abstractNumId="87">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8">
    <w:nsid w:val="43F18422"/>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89">
    <w:nsid w:val="60EF011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90">
    <w:nsid w:val="26F324BA"/>
    <w:multiLevelType w:val="hybridMultilevel"/>
    <w:lvl w:ilvl="0">
      <w:lvlJc w:val="left"/>
      <w:lvlText w:val="%1."/>
      <w:numFmt w:val="decimal"/>
      <w:start w:val="5"/>
    </w:lvl>
  </w:abstractNum>
  <w:abstractNum w:abstractNumId="91">
    <w:nsid w:val="7F01579B"/>
    <w:multiLevelType w:val="hybridMultilevel"/>
    <w:lvl w:ilvl="0">
      <w:lvlJc w:val="left"/>
      <w:lvlText w:val="%1."/>
      <w:numFmt w:val="decimal"/>
      <w:start w:val="6"/>
    </w:lvl>
  </w:abstractNum>
  <w:abstractNum w:abstractNumId="92">
    <w:nsid w:val="49DA307D"/>
    <w:multiLevelType w:val="hybridMultilevel"/>
    <w:lvl w:ilvl="0">
      <w:lvlJc w:val="left"/>
      <w:lvlText w:val="%1."/>
      <w:numFmt w:val="decimal"/>
      <w:start w:val="7"/>
    </w:lvl>
    <w:lvl w:ilvl="1">
      <w:lvlJc w:val="left"/>
      <w:lvlText w:val="(%2)"/>
      <w:numFmt w:val="lowerLetter"/>
      <w:start w:val="1"/>
    </w:lvl>
  </w:abstractNum>
  <w:abstractNum w:abstractNumId="93">
    <w:nsid w:val="7055A5F5"/>
    <w:multiLevelType w:val="hybridMultilevel"/>
    <w:lvl w:ilvl="0">
      <w:lvlJc w:val="left"/>
      <w:lvlText w:val="%1."/>
      <w:numFmt w:val="decimal"/>
      <w:start w:val="9"/>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5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jpeg"/><Relationship Id="rId171" Type="http://schemas.openxmlformats.org/officeDocument/2006/relationships/image" Target="media/image139.jpe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41" Type="http://schemas.openxmlformats.org/officeDocument/2006/relationships/hyperlink" Target="https://www.sec.gov/Archives/edgar/data/0001588978/000162828021018923/exhibit31-closing8xk.htm" TargetMode="External"/><Relationship Id="rId142" Type="http://schemas.openxmlformats.org/officeDocument/2006/relationships/hyperlink" Target="https://www.sec.gov/Archives/edgar/data/0001588978/000162828021018923/exhibit32-closing8xk.htm" TargetMode="External"/><Relationship Id="rId143" Type="http://schemas.openxmlformats.org/officeDocument/2006/relationships/hyperlink" Target="https://www.sec.gov/Archives/edgar/data/1588978/000162828022006885/exhibit41-descriptionofcap.htm" TargetMode="External"/><Relationship Id="rId144" Type="http://schemas.openxmlformats.org/officeDocument/2006/relationships/hyperlink" Target="https://www.sec.gov/Archives/edgar/data/1588978/000162828021017245/exhibit101-sx1.htm" TargetMode="External"/><Relationship Id="rId145" Type="http://schemas.openxmlformats.org/officeDocument/2006/relationships/hyperlink" Target="https://www.sec.gov/Archives/edgar/data/1588978/000162828021017245/exhibit102-sx1.htm" TargetMode="External"/><Relationship Id="rId146" Type="http://schemas.openxmlformats.org/officeDocument/2006/relationships/hyperlink" Target="https://www.sec.gov/Archives/edgar/data/1588978/000162828021017245/exhibit103-sx1.htm" TargetMode="External"/><Relationship Id="rId147" Type="http://schemas.openxmlformats.org/officeDocument/2006/relationships/hyperlink" Target="https://www.sec.gov/Archives/edgar/data/0001588978/000162828021018188/exhibit104-sx1a1.htm" TargetMode="External"/><Relationship Id="rId148" Type="http://schemas.openxmlformats.org/officeDocument/2006/relationships/hyperlink" Target="https://www.sec.gov/Archives/edgar/data/0001588978/000162828021018188/exhibit104a-sx1a1.htm" TargetMode="External"/><Relationship Id="rId149" Type="http://schemas.openxmlformats.org/officeDocument/2006/relationships/hyperlink" Target="https://www.sec.gov/Archives/edgar/data/0001588978/000162828021018188/exhibit105-sx1a1.htm" TargetMode="External"/><Relationship Id="rId150" Type="http://schemas.openxmlformats.org/officeDocument/2006/relationships/hyperlink" Target="https://www.sec.gov/Archives/edgar/data/1588978/000162828021017245/exhibit106-sx1.htm" TargetMode="External"/><Relationship Id="rId151" Type="http://schemas.openxmlformats.org/officeDocument/2006/relationships/hyperlink" Target="https://www.sec.gov/Archives/edgar/data/1588978/000162828021017245/exhibit108-sx1.htm" TargetMode="External"/><Relationship Id="rId152" Type="http://schemas.openxmlformats.org/officeDocument/2006/relationships/hyperlink" Target="https://www.sec.gov/Archives/edgar/data/1588978/000162828021017245/exhibit108a-sx1.htm" TargetMode="External"/><Relationship Id="rId153" Type="http://schemas.openxmlformats.org/officeDocument/2006/relationships/hyperlink" Target="https://www.sec.gov/Archives/edgar/data/1588978/000162828021017245/exhibit108b-sx1.htm" TargetMode="External"/><Relationship Id="rId154" Type="http://schemas.openxmlformats.org/officeDocument/2006/relationships/hyperlink" Target="https://www.sec.gov/Archives/edgar/data/1588978/000162828021017245/exhibit108c-sx1.htm" TargetMode="External"/><Relationship Id="rId155" Type="http://schemas.openxmlformats.org/officeDocument/2006/relationships/hyperlink" Target="https://www.sec.gov/Archives/edgar/data/1588978/000162828021017245/exhibit109-sx1.htm" TargetMode="External"/><Relationship Id="rId157" Type="http://schemas.openxmlformats.org/officeDocument/2006/relationships/hyperlink" Target="https://www.sec.gov/Archives/edgar/data/0001588978/000162828021018188/ex1010-sx1a1.htm" TargetMode="External"/><Relationship Id="rId158" Type="http://schemas.openxmlformats.org/officeDocument/2006/relationships/hyperlink" Target="https://www.sec.gov/Archives/edgar/data/1588978/000162828021018188/exhibit1011-sx1a1.htm" TargetMode="External"/><Relationship Id="rId159" Type="http://schemas.openxmlformats.org/officeDocument/2006/relationships/hyperlink" Target="https://www.sec.gov/Archives/edgar/data/1588978/000162828021018188/ex1011a-sx1a1.htm" TargetMode="External"/><Relationship Id="rId160" Type="http://schemas.openxmlformats.org/officeDocument/2006/relationships/hyperlink" Target="https://www.sec.gov/Archives/edgar/data/1588978/000162828021018188/exhibit1011b-sx1a1.htm" TargetMode="External"/><Relationship Id="rId161" Type="http://schemas.openxmlformats.org/officeDocument/2006/relationships/hyperlink" Target="https://www.sec.gov/Archives/edgar/data/1588978/000162828021018188/exhibit1012-sx1a1.htm" TargetMode="External"/><Relationship Id="rId162" Type="http://schemas.openxmlformats.org/officeDocument/2006/relationships/hyperlink" Target="https://www.sec.gov/Archives/edgar/data/0001588978/000162828021018188/exhibit1013-sx1a1.htm" TargetMode="External"/><Relationship Id="rId163" Type="http://schemas.openxmlformats.org/officeDocument/2006/relationships/hyperlink" Target="https://www.sec.gov/Archives/edgar/data/0001588978/000162828021018188/exhibit1014-sx1a1.htm" TargetMode="External"/><Relationship Id="rId164" Type="http://schemas.openxmlformats.org/officeDocument/2006/relationships/hyperlink" Target="https://www.sec.gov/Archives/edgar/data/0001588978/000162828021018188/exhibit1015-sx1a1.htm" TargetMode="External"/><Relationship Id="rId165" Type="http://schemas.openxmlformats.org/officeDocument/2006/relationships/hyperlink" Target="https://www.sec.gov/ix?doc=/Archives/edgar/data/1588978/000162828022026185/prct-20221006.htm" TargetMode="External"/><Relationship Id="rId166" Type="http://schemas.openxmlformats.org/officeDocument/2006/relationships/hyperlink" Target="https://www.sec.gov/Archives/edgar/data/1588978/000162828021017245/exhibit211-drsa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2023-02-28T18:53:41Z</dcterms:created>
  <dcterms:modified xsi:type="dcterms:W3CDTF">2023-02-28T18:53:41Z</dcterms:modified>
</cp:coreProperties>
</file>